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楷体" w:hAnsi="楷体" w:eastAsia="楷体" w:cs="楷体"/>
          <w:bCs/>
          <w:sz w:val="48"/>
          <w:szCs w:val="48"/>
        </w:rPr>
      </w:pPr>
    </w:p>
    <w:p>
      <w:pPr>
        <w:rPr>
          <w:rFonts w:hint="eastAsia" w:ascii="方正小标宋简体" w:hAnsi="方正小标宋简体" w:eastAsia="方正小标宋简体" w:cs="方正小标宋简体"/>
          <w:sz w:val="44"/>
          <w:szCs w:val="44"/>
        </w:rPr>
      </w:pPr>
    </w:p>
    <w:p>
      <w:pPr>
        <w:jc w:val="center"/>
        <w:rPr>
          <w:rFonts w:hint="eastAsia" w:ascii="方正小标宋_GBK" w:hAnsi="方正小标宋简体" w:eastAsia="方正小标宋_GBK" w:cs="方正小标宋简体"/>
          <w:sz w:val="44"/>
          <w:szCs w:val="44"/>
        </w:rPr>
      </w:pPr>
      <w:r>
        <w:rPr>
          <w:rFonts w:hint="eastAsia" w:ascii="方正小标宋_GBK" w:hAnsi="方正小标宋简体" w:eastAsia="方正小标宋_GBK" w:cs="方正小标宋简体"/>
          <w:sz w:val="44"/>
          <w:szCs w:val="44"/>
        </w:rPr>
        <w:t>呼伦贝尔市现代马产业发展规划</w:t>
      </w:r>
    </w:p>
    <w:p>
      <w:pPr>
        <w:jc w:val="center"/>
        <w:rPr>
          <w:rFonts w:hint="eastAsia" w:ascii="方正小标宋_GBK" w:hAnsi="方正小标宋简体" w:eastAsia="方正小标宋_GBK" w:cs="方正小标宋简体"/>
          <w:sz w:val="44"/>
          <w:szCs w:val="44"/>
        </w:rPr>
      </w:pPr>
      <w:r>
        <w:rPr>
          <w:rFonts w:hint="eastAsia" w:ascii="方正小标宋_GBK" w:hAnsi="方正小标宋简体" w:eastAsia="方正小标宋_GBK" w:cs="方正小标宋简体"/>
          <w:sz w:val="44"/>
          <w:szCs w:val="44"/>
        </w:rPr>
        <w:t>（2019-2025年）</w:t>
      </w:r>
    </w:p>
    <w:p>
      <w:pPr>
        <w:jc w:val="center"/>
        <w:rPr>
          <w:rFonts w:ascii="楷体" w:hAnsi="楷体" w:eastAsia="楷体" w:cs="楷体"/>
          <w:bCs/>
          <w:sz w:val="36"/>
          <w:szCs w:val="36"/>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ascii="楷体" w:hAnsi="楷体" w:eastAsia="楷体" w:cs="楷体"/>
          <w:bCs/>
          <w:sz w:val="48"/>
          <w:szCs w:val="48"/>
        </w:rPr>
      </w:pPr>
    </w:p>
    <w:p>
      <w:pPr>
        <w:jc w:val="center"/>
        <w:rPr>
          <w:rFonts w:hint="eastAsia" w:ascii="楷体" w:hAnsi="楷体" w:eastAsia="楷体" w:cs="楷体"/>
          <w:bCs/>
          <w:sz w:val="36"/>
          <w:szCs w:val="36"/>
        </w:rPr>
      </w:pPr>
      <w:r>
        <w:rPr>
          <w:rFonts w:hint="eastAsia" w:ascii="黑体" w:hAnsi="黑体" w:eastAsia="黑体" w:cs="黑体"/>
          <w:sz w:val="36"/>
          <w:szCs w:val="36"/>
        </w:rPr>
        <w:t>呼伦贝尔市人民政府</w:t>
      </w:r>
    </w:p>
    <w:p>
      <w:pPr>
        <w:jc w:val="center"/>
        <w:rPr>
          <w:rFonts w:hint="eastAsia" w:ascii="宋体" w:hAnsi="宋体" w:cs="宋体"/>
          <w:sz w:val="44"/>
          <w:szCs w:val="44"/>
        </w:rPr>
      </w:pPr>
      <w:r>
        <w:rPr>
          <w:rFonts w:hint="eastAsia" w:ascii="楷体" w:hAnsi="楷体" w:eastAsia="楷体" w:cs="楷体"/>
          <w:bCs/>
          <w:sz w:val="28"/>
          <w:szCs w:val="28"/>
        </w:rPr>
        <w:br w:type="page"/>
      </w:r>
      <w:bookmarkStart w:id="0" w:name="_Toc7676_WPSOffice_Level1"/>
      <w:bookmarkStart w:id="1" w:name="_Toc8602_WPSOffice_Level1"/>
      <w:bookmarkStart w:id="2" w:name="_Toc19949_WPSOffice_Level1"/>
      <w:r>
        <w:rPr>
          <w:rFonts w:hint="eastAsia" w:ascii="宋体" w:hAnsi="宋体" w:cs="宋体"/>
          <w:sz w:val="44"/>
          <w:szCs w:val="44"/>
        </w:rPr>
        <w:t>目  录</w:t>
      </w:r>
    </w:p>
    <w:p>
      <w:pPr>
        <w:jc w:val="center"/>
        <w:rPr>
          <w:rFonts w:hint="eastAsia" w:ascii="宋体" w:hAnsi="宋体" w:cs="宋体"/>
          <w:sz w:val="28"/>
          <w:szCs w:val="28"/>
        </w:rPr>
      </w:pPr>
    </w:p>
    <w:p>
      <w:pPr>
        <w:pStyle w:val="12"/>
        <w:tabs>
          <w:tab w:val="right" w:leader="dot" w:pos="8306"/>
          <w:tab w:val="clear" w:pos="8296"/>
        </w:tabs>
        <w:spacing w:line="480" w:lineRule="auto"/>
        <w:rPr>
          <w:b w:val="0"/>
          <w:bCs/>
        </w:rPr>
      </w:pPr>
      <w:r>
        <w:rPr>
          <w:rFonts w:ascii="楷体" w:hAnsi="楷体" w:cs="楷体"/>
          <w:b w:val="0"/>
          <w:bCs/>
        </w:rPr>
        <w:fldChar w:fldCharType="begin"/>
      </w:r>
      <w:r>
        <w:rPr>
          <w:rFonts w:ascii="楷体" w:hAnsi="楷体" w:cs="楷体"/>
          <w:b w:val="0"/>
          <w:bCs/>
        </w:rPr>
        <w:instrText xml:space="preserve">TOC \o "1-3" \h \u </w:instrText>
      </w:r>
      <w:r>
        <w:rPr>
          <w:rFonts w:ascii="楷体" w:hAnsi="楷体" w:cs="楷体"/>
          <w:b w:val="0"/>
          <w:bCs/>
        </w:rPr>
        <w:fldChar w:fldCharType="separate"/>
      </w:r>
      <w:r>
        <w:fldChar w:fldCharType="begin"/>
      </w:r>
      <w:r>
        <w:instrText xml:space="preserve"> HYPERLINK \l "_Toc5347" </w:instrText>
      </w:r>
      <w:r>
        <w:fldChar w:fldCharType="separate"/>
      </w:r>
      <w:r>
        <w:rPr>
          <w:rFonts w:hint="eastAsia" w:cs="黑体"/>
          <w:b w:val="0"/>
          <w:bCs/>
        </w:rPr>
        <w:t>一、呼伦贝尔市马产业发展的现实基础</w:t>
      </w:r>
      <w:r>
        <w:rPr>
          <w:rFonts w:hint="eastAsia" w:cs="黑体"/>
          <w:b w:val="0"/>
          <w:bCs/>
        </w:rPr>
        <w:tab/>
      </w:r>
      <w:r>
        <w:rPr>
          <w:rFonts w:hint="eastAsia" w:cs="黑体"/>
          <w:b w:val="0"/>
          <w:bCs/>
        </w:rPr>
        <w:fldChar w:fldCharType="begin"/>
      </w:r>
      <w:r>
        <w:rPr>
          <w:rFonts w:hint="eastAsia" w:cs="黑体"/>
          <w:b w:val="0"/>
          <w:bCs/>
        </w:rPr>
        <w:instrText xml:space="preserve"> PAGEREF _Toc5347 </w:instrText>
      </w:r>
      <w:r>
        <w:rPr>
          <w:rFonts w:hint="eastAsia" w:cs="黑体"/>
          <w:b w:val="0"/>
          <w:bCs/>
        </w:rPr>
        <w:fldChar w:fldCharType="separate"/>
      </w:r>
      <w:r>
        <w:rPr>
          <w:rFonts w:cs="黑体"/>
          <w:b w:val="0"/>
          <w:bCs/>
          <w:lang w:val="en-US" w:eastAsia="zh-CN"/>
        </w:rPr>
        <w:t>- 3 -</w:t>
      </w:r>
      <w:r>
        <w:rPr>
          <w:rFonts w:hint="eastAsia" w:cs="黑体"/>
          <w:b w:val="0"/>
          <w:bCs/>
        </w:rPr>
        <w:fldChar w:fldCharType="end"/>
      </w:r>
      <w:r>
        <w:rPr>
          <w:rFonts w:hint="eastAsia" w:cs="黑体"/>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"_Toc9738" </w:instrText>
      </w:r>
      <w:r>
        <w:fldChar w:fldCharType="separate"/>
      </w:r>
      <w:r>
        <w:rPr>
          <w:rFonts w:hint="eastAsia" w:ascii="宋体" w:hAnsi="宋体" w:cs="宋体"/>
          <w:bCs/>
          <w:sz w:val="28"/>
          <w:szCs w:val="28"/>
        </w:rPr>
        <w:t>（一）呼伦贝尔市马产业发展现状</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_Toc9738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"_Toc4016" </w:instrText>
      </w:r>
      <w:r>
        <w:fldChar w:fldCharType="separate"/>
      </w:r>
      <w:r>
        <w:rPr>
          <w:rFonts w:hint="eastAsia" w:ascii="宋体" w:hAnsi="宋体" w:cs="宋体"/>
          <w:bCs/>
          <w:sz w:val="28"/>
          <w:szCs w:val="28"/>
        </w:rPr>
        <w:t>（二）呼伦贝尔市马业发展存在的问题</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_Toc4016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bCs/>
          <w:sz w:val="28"/>
          <w:szCs w:val="28"/>
        </w:rPr>
      </w:pPr>
      <w:r>
        <w:fldChar w:fldCharType="begin"/>
      </w:r>
      <w:r>
        <w:instrText xml:space="preserve"> HYPERLINK \l "_Toc8737" </w:instrText>
      </w:r>
      <w:r>
        <w:fldChar w:fldCharType="separate"/>
      </w:r>
      <w:r>
        <w:rPr>
          <w:rFonts w:hint="eastAsia" w:ascii="宋体" w:hAnsi="宋体" w:cs="宋体"/>
          <w:bCs/>
          <w:sz w:val="28"/>
          <w:szCs w:val="28"/>
        </w:rPr>
        <w:t>（三）呼伦贝尔市发展马产业的必要性</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_Toc8737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"_Toc18582" </w:instrText>
      </w:r>
      <w:r>
        <w:fldChar w:fldCharType="separate"/>
      </w:r>
      <w:r>
        <w:rPr>
          <w:rFonts w:hint="eastAsia" w:cs="黑体"/>
          <w:b w:val="0"/>
          <w:bCs/>
        </w:rPr>
        <w:t>二、指导思想和原则</w:t>
      </w:r>
      <w:r>
        <w:rPr>
          <w:b w:val="0"/>
          <w:bCs/>
        </w:rPr>
        <w:tab/>
      </w:r>
      <w:r>
        <w:rPr>
          <w:b w:val="0"/>
          <w:bCs/>
        </w:rPr>
        <w:fldChar w:fldCharType="begin"/>
      </w:r>
      <w:r>
        <w:rPr>
          <w:b w:val="0"/>
          <w:bCs/>
        </w:rPr>
        <w:instrText xml:space="preserve"> PAGEREF _Toc18582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bCs/>
          <w:sz w:val="28"/>
          <w:szCs w:val="28"/>
        </w:rPr>
      </w:pPr>
      <w:r>
        <w:fldChar w:fldCharType="begin"/>
      </w:r>
      <w:r>
        <w:instrText xml:space="preserve"> HYPERLINK \l "_Toc6155" </w:instrText>
      </w:r>
      <w:r>
        <w:fldChar w:fldCharType="separate"/>
      </w:r>
      <w:r>
        <w:rPr>
          <w:rFonts w:hint="eastAsia"/>
          <w:bCs/>
          <w:sz w:val="28"/>
          <w:szCs w:val="28"/>
        </w:rPr>
        <w:t>（一）指导思想</w:t>
      </w:r>
      <w:r>
        <w:rPr>
          <w:bCs/>
          <w:sz w:val="28"/>
          <w:szCs w:val="28"/>
        </w:rPr>
        <w:tab/>
      </w:r>
      <w:r>
        <w:rPr>
          <w:bCs/>
          <w:sz w:val="28"/>
          <w:szCs w:val="28"/>
        </w:rPr>
        <w:fldChar w:fldCharType="begin"/>
      </w:r>
      <w:r>
        <w:rPr>
          <w:bCs/>
          <w:sz w:val="28"/>
          <w:szCs w:val="28"/>
        </w:rPr>
        <w:instrText xml:space="preserve"> PAGEREF _Toc6155 </w:instrText>
      </w:r>
      <w:r>
        <w:rPr>
          <w:bCs/>
          <w:sz w:val="28"/>
          <w:szCs w:val="28"/>
        </w:rPr>
        <w:fldChar w:fldCharType="separate"/>
      </w:r>
      <w:r>
        <w:rPr>
          <w:bCs/>
          <w:sz w:val="28"/>
          <w:szCs w:val="28"/>
          <w:lang w:val="en-US" w:eastAsia="zh-CN"/>
        </w:rPr>
        <w:t>- 3 -</w:t>
      </w:r>
      <w:r>
        <w:rPr>
          <w:bCs/>
          <w:sz w:val="28"/>
          <w:szCs w:val="28"/>
        </w:rPr>
        <w:fldChar w:fldCharType="end"/>
      </w:r>
      <w:r>
        <w:rPr>
          <w:bCs/>
          <w:sz w:val="28"/>
          <w:szCs w:val="28"/>
        </w:rPr>
        <w:fldChar w:fldCharType="end"/>
      </w:r>
    </w:p>
    <w:p>
      <w:pPr>
        <w:pStyle w:val="13"/>
        <w:tabs>
          <w:tab w:val="right" w:leader="dot" w:pos="8306"/>
        </w:tabs>
        <w:spacing w:line="480" w:lineRule="auto"/>
        <w:rPr>
          <w:bCs/>
          <w:sz w:val="28"/>
          <w:szCs w:val="28"/>
        </w:rPr>
      </w:pPr>
      <w:r>
        <w:fldChar w:fldCharType="begin"/>
      </w:r>
      <w:r>
        <w:instrText xml:space="preserve"> HYPERLINK \l "_Toc17334" </w:instrText>
      </w:r>
      <w:r>
        <w:fldChar w:fldCharType="separate"/>
      </w:r>
      <w:r>
        <w:rPr>
          <w:rFonts w:hint="eastAsia"/>
          <w:bCs/>
          <w:sz w:val="28"/>
          <w:szCs w:val="28"/>
        </w:rPr>
        <w:t>（二）基本原则</w:t>
      </w:r>
      <w:r>
        <w:rPr>
          <w:bCs/>
          <w:sz w:val="28"/>
          <w:szCs w:val="28"/>
        </w:rPr>
        <w:tab/>
      </w:r>
      <w:r>
        <w:rPr>
          <w:bCs/>
          <w:sz w:val="28"/>
          <w:szCs w:val="28"/>
        </w:rPr>
        <w:fldChar w:fldCharType="begin"/>
      </w:r>
      <w:r>
        <w:rPr>
          <w:bCs/>
          <w:sz w:val="28"/>
          <w:szCs w:val="28"/>
        </w:rPr>
        <w:instrText xml:space="preserve"> PAGEREF _Toc17334 </w:instrText>
      </w:r>
      <w:r>
        <w:rPr>
          <w:bCs/>
          <w:sz w:val="28"/>
          <w:szCs w:val="28"/>
        </w:rPr>
        <w:fldChar w:fldCharType="separate"/>
      </w:r>
      <w:r>
        <w:rPr>
          <w:bCs/>
          <w:sz w:val="28"/>
          <w:szCs w:val="28"/>
          <w:lang w:val="en-US" w:eastAsia="zh-CN"/>
        </w:rPr>
        <w:t>- 3 -</w:t>
      </w:r>
      <w:r>
        <w:rPr>
          <w:bCs/>
          <w:sz w:val="28"/>
          <w:szCs w:val="28"/>
        </w:rPr>
        <w:fldChar w:fldCharType="end"/>
      </w:r>
      <w:r>
        <w:rPr>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"_Toc26340" </w:instrText>
      </w:r>
      <w:r>
        <w:fldChar w:fldCharType="separate"/>
      </w:r>
      <w:r>
        <w:rPr>
          <w:rFonts w:hint="eastAsia" w:cs="黑体"/>
          <w:b w:val="0"/>
          <w:bCs/>
        </w:rPr>
        <w:t>三、发展目标和产业布局</w:t>
      </w:r>
      <w:r>
        <w:rPr>
          <w:b w:val="0"/>
          <w:bCs/>
        </w:rPr>
        <w:tab/>
      </w:r>
      <w:r>
        <w:rPr>
          <w:b w:val="0"/>
          <w:bCs/>
        </w:rPr>
        <w:fldChar w:fldCharType="begin"/>
      </w:r>
      <w:r>
        <w:rPr>
          <w:b w:val="0"/>
          <w:bCs/>
        </w:rPr>
        <w:instrText xml:space="preserve"> PAGEREF _Toc26340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"_Toc20280" </w:instrText>
      </w:r>
      <w:r>
        <w:fldChar w:fldCharType="separate"/>
      </w:r>
      <w:r>
        <w:rPr>
          <w:rFonts w:hint="eastAsia" w:ascii="宋体" w:hAnsi="宋体" w:cs="宋体"/>
          <w:bCs/>
          <w:sz w:val="28"/>
          <w:szCs w:val="28"/>
        </w:rPr>
        <w:t>（一）发展目标</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_Toc20280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"_Toc24342" </w:instrText>
      </w:r>
      <w:r>
        <w:fldChar w:fldCharType="separate"/>
      </w:r>
      <w:r>
        <w:rPr>
          <w:rFonts w:hint="eastAsia" w:ascii="宋体" w:hAnsi="宋体" w:cs="宋体"/>
          <w:bCs/>
          <w:sz w:val="28"/>
          <w:szCs w:val="28"/>
        </w:rPr>
        <w:t>（二）产业布局</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_Toc24342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"_Toc22943" </w:instrText>
      </w:r>
      <w:r>
        <w:fldChar w:fldCharType="separate"/>
      </w:r>
      <w:r>
        <w:rPr>
          <w:rFonts w:hint="eastAsia" w:cs="黑体"/>
          <w:b w:val="0"/>
          <w:bCs/>
        </w:rPr>
        <w:t>四、重点任务</w:t>
      </w:r>
      <w:r>
        <w:rPr>
          <w:b w:val="0"/>
          <w:bCs/>
        </w:rPr>
        <w:tab/>
      </w:r>
      <w:r>
        <w:rPr>
          <w:b w:val="0"/>
          <w:bCs/>
        </w:rPr>
        <w:fldChar w:fldCharType="begin"/>
      </w:r>
      <w:r>
        <w:rPr>
          <w:b w:val="0"/>
          <w:bCs/>
        </w:rPr>
        <w:instrText xml:space="preserve"> PAGEREF _Toc22943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"_Toc7562" </w:instrText>
      </w:r>
      <w:r>
        <w:fldChar w:fldCharType="separate"/>
      </w:r>
      <w:r>
        <w:rPr>
          <w:rFonts w:hint="eastAsia" w:ascii="宋体" w:hAnsi="宋体" w:cs="宋体"/>
          <w:bCs/>
          <w:sz w:val="28"/>
          <w:szCs w:val="28"/>
        </w:rPr>
        <w:t>（一）促进马匹养殖业发展</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_Toc7562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"_Toc24938" </w:instrText>
      </w:r>
      <w:r>
        <w:fldChar w:fldCharType="separate"/>
      </w:r>
      <w:r>
        <w:rPr>
          <w:rFonts w:hint="eastAsia" w:ascii="宋体" w:hAnsi="宋体" w:cs="宋体"/>
          <w:bCs/>
          <w:sz w:val="28"/>
          <w:szCs w:val="28"/>
        </w:rPr>
        <w:t>（二）加强马产品开发及质量监督</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_Toc24938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"_Toc10323" </w:instrText>
      </w:r>
      <w:r>
        <w:fldChar w:fldCharType="separate"/>
      </w:r>
      <w:r>
        <w:rPr>
          <w:rFonts w:hint="eastAsia" w:ascii="宋体" w:hAnsi="宋体" w:cs="宋体"/>
          <w:bCs/>
          <w:sz w:val="28"/>
          <w:szCs w:val="28"/>
        </w:rPr>
        <w:t>（三）大力发展休闲骑乘和马竞技体育产业</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_Toc10323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"_Toc6056" </w:instrText>
      </w:r>
      <w:r>
        <w:fldChar w:fldCharType="separate"/>
      </w:r>
      <w:r>
        <w:rPr>
          <w:rFonts w:hint="eastAsia" w:ascii="宋体" w:hAnsi="宋体" w:cs="宋体"/>
          <w:bCs/>
          <w:sz w:val="28"/>
          <w:szCs w:val="28"/>
        </w:rPr>
        <w:t>（四）推进马文化与休闲旅游业的深度融合</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_Toc6056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"_Toc19052" </w:instrText>
      </w:r>
      <w:r>
        <w:fldChar w:fldCharType="separate"/>
      </w:r>
      <w:r>
        <w:rPr>
          <w:rFonts w:hint="eastAsia" w:ascii="宋体" w:hAnsi="宋体" w:cs="宋体"/>
          <w:bCs/>
          <w:sz w:val="28"/>
          <w:szCs w:val="28"/>
        </w:rPr>
        <w:t>（五）弘扬马文化精神，助力马产业发展</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_Toc19052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"_Toc2306" </w:instrText>
      </w:r>
      <w:r>
        <w:fldChar w:fldCharType="separate"/>
      </w:r>
      <w:r>
        <w:rPr>
          <w:rFonts w:hint="eastAsia" w:ascii="宋体" w:hAnsi="宋体" w:cs="宋体"/>
          <w:bCs/>
          <w:sz w:val="28"/>
          <w:szCs w:val="28"/>
        </w:rPr>
        <w:t>（六）加强人才培养</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_Toc2306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"_Toc32010" </w:instrText>
      </w:r>
      <w:r>
        <w:fldChar w:fldCharType="separate"/>
      </w:r>
      <w:r>
        <w:rPr>
          <w:rFonts w:hint="eastAsia" w:ascii="宋体" w:hAnsi="宋体" w:cs="宋体"/>
          <w:bCs/>
          <w:sz w:val="28"/>
          <w:szCs w:val="28"/>
        </w:rPr>
        <w:t>（七）创新现代营销方式</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_Toc32010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bCs/>
          <w:sz w:val="28"/>
          <w:szCs w:val="28"/>
        </w:rPr>
      </w:pPr>
      <w:r>
        <w:fldChar w:fldCharType="begin"/>
      </w:r>
      <w:r>
        <w:instrText xml:space="preserve"> HYPERLINK \l "_Toc13383" </w:instrText>
      </w:r>
      <w:r>
        <w:fldChar w:fldCharType="separate"/>
      </w:r>
      <w:r>
        <w:rPr>
          <w:rFonts w:hint="eastAsia" w:ascii="宋体" w:hAnsi="宋体" w:cs="宋体"/>
          <w:bCs/>
          <w:sz w:val="28"/>
          <w:szCs w:val="28"/>
        </w:rPr>
        <w:t>（八）建设马专用饲料生产加工基地</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_Toc13383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"_Toc11392" </w:instrText>
      </w:r>
      <w:r>
        <w:fldChar w:fldCharType="separate"/>
      </w:r>
      <w:r>
        <w:rPr>
          <w:rFonts w:hint="eastAsia" w:cs="黑体"/>
          <w:b w:val="0"/>
          <w:bCs/>
        </w:rPr>
        <w:t>五、市场需求及预期效益</w:t>
      </w:r>
      <w:r>
        <w:rPr>
          <w:b w:val="0"/>
          <w:bCs/>
        </w:rPr>
        <w:tab/>
      </w:r>
      <w:r>
        <w:rPr>
          <w:b w:val="0"/>
          <w:bCs/>
        </w:rPr>
        <w:fldChar w:fldCharType="begin"/>
      </w:r>
      <w:r>
        <w:rPr>
          <w:b w:val="0"/>
          <w:bCs/>
        </w:rPr>
        <w:instrText xml:space="preserve"> PAGEREF _Toc11392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"_Toc8758" </w:instrText>
      </w:r>
      <w:r>
        <w:fldChar w:fldCharType="separate"/>
      </w:r>
      <w:r>
        <w:rPr>
          <w:rFonts w:hint="eastAsia" w:ascii="宋体" w:hAnsi="宋体" w:cs="宋体"/>
          <w:bCs/>
          <w:sz w:val="28"/>
          <w:szCs w:val="28"/>
        </w:rPr>
        <w:t>（一）市场需求</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_Toc8758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"_Toc15719" </w:instrText>
      </w:r>
      <w:r>
        <w:fldChar w:fldCharType="separate"/>
      </w:r>
      <w:r>
        <w:rPr>
          <w:rFonts w:hint="eastAsia" w:ascii="宋体" w:hAnsi="宋体" w:cs="宋体"/>
          <w:bCs/>
          <w:sz w:val="28"/>
          <w:szCs w:val="28"/>
        </w:rPr>
        <w:t>（二）预期效益</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_Toc15719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"_Toc7144" </w:instrText>
      </w:r>
      <w:r>
        <w:fldChar w:fldCharType="separate"/>
      </w:r>
      <w:r>
        <w:rPr>
          <w:rFonts w:hint="eastAsia" w:cs="黑体"/>
          <w:b w:val="0"/>
          <w:bCs/>
        </w:rPr>
        <w:t>六、环境影响评价</w:t>
      </w:r>
      <w:r>
        <w:rPr>
          <w:b w:val="0"/>
          <w:bCs/>
        </w:rPr>
        <w:tab/>
      </w:r>
      <w:r>
        <w:rPr>
          <w:b w:val="0"/>
          <w:bCs/>
        </w:rPr>
        <w:fldChar w:fldCharType="begin"/>
      </w:r>
      <w:r>
        <w:rPr>
          <w:b w:val="0"/>
          <w:bCs/>
        </w:rPr>
        <w:instrText xml:space="preserve"> PAGEREF _Toc7144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"_Toc4776" </w:instrText>
      </w:r>
      <w:r>
        <w:fldChar w:fldCharType="separate"/>
      </w:r>
      <w:r>
        <w:rPr>
          <w:rFonts w:hint="eastAsia" w:ascii="宋体" w:hAnsi="宋体" w:cs="宋体"/>
          <w:bCs/>
          <w:sz w:val="28"/>
          <w:szCs w:val="28"/>
        </w:rPr>
        <w:t>（一）相关规划、法律法规符合性</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_Toc4776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"_Toc11856" </w:instrText>
      </w:r>
      <w:r>
        <w:fldChar w:fldCharType="separate"/>
      </w:r>
      <w:r>
        <w:rPr>
          <w:rFonts w:hint="eastAsia" w:ascii="宋体" w:hAnsi="宋体" w:cs="宋体"/>
          <w:bCs/>
          <w:sz w:val="28"/>
          <w:szCs w:val="28"/>
        </w:rPr>
        <w:t>（二）环境影响综合预测</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_Toc11856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"_Toc23631" </w:instrText>
      </w:r>
      <w:r>
        <w:fldChar w:fldCharType="separate"/>
      </w:r>
      <w:r>
        <w:rPr>
          <w:rFonts w:hint="eastAsia" w:ascii="宋体" w:hAnsi="宋体" w:cs="宋体"/>
          <w:bCs/>
          <w:sz w:val="28"/>
          <w:szCs w:val="28"/>
        </w:rPr>
        <w:t>（三）污染防治措施</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_Toc23631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"_Toc3422" </w:instrText>
      </w:r>
      <w:r>
        <w:fldChar w:fldCharType="separate"/>
      </w:r>
      <w:r>
        <w:rPr>
          <w:rFonts w:hint="eastAsia" w:ascii="宋体" w:hAnsi="宋体" w:cs="宋体"/>
          <w:bCs/>
          <w:sz w:val="28"/>
          <w:szCs w:val="28"/>
        </w:rPr>
        <w:t>（四）环境影响评价的结论 </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_Toc3422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2"/>
        <w:tabs>
          <w:tab w:val="right" w:leader="dot" w:pos="8306"/>
          <w:tab w:val="clear" w:pos="8296"/>
        </w:tabs>
        <w:spacing w:line="480" w:lineRule="auto"/>
        <w:rPr>
          <w:b w:val="0"/>
          <w:bCs/>
        </w:rPr>
      </w:pPr>
      <w:r>
        <w:fldChar w:fldCharType="begin"/>
      </w:r>
      <w:r>
        <w:instrText xml:space="preserve"> HYPERLINK \l "_Toc20285" </w:instrText>
      </w:r>
      <w:r>
        <w:fldChar w:fldCharType="separate"/>
      </w:r>
      <w:r>
        <w:rPr>
          <w:rFonts w:hint="eastAsia" w:cs="黑体"/>
          <w:b w:val="0"/>
          <w:bCs/>
        </w:rPr>
        <w:t>七、保障措施</w:t>
      </w:r>
      <w:r>
        <w:rPr>
          <w:b w:val="0"/>
          <w:bCs/>
        </w:rPr>
        <w:tab/>
      </w:r>
      <w:r>
        <w:rPr>
          <w:b w:val="0"/>
          <w:bCs/>
        </w:rPr>
        <w:fldChar w:fldCharType="begin"/>
      </w:r>
      <w:r>
        <w:rPr>
          <w:b w:val="0"/>
          <w:bCs/>
        </w:rPr>
        <w:instrText xml:space="preserve"> PAGEREF _Toc20285 </w:instrText>
      </w:r>
      <w:r>
        <w:rPr>
          <w:b w:val="0"/>
          <w:bCs/>
        </w:rPr>
        <w:fldChar w:fldCharType="separate"/>
      </w:r>
      <w:r>
        <w:rPr>
          <w:b w:val="0"/>
          <w:bCs/>
          <w:lang w:val="en-US" w:eastAsia="zh-CN"/>
        </w:rPr>
        <w:t>- 3 -</w:t>
      </w:r>
      <w:r>
        <w:rPr>
          <w:b w:val="0"/>
          <w:bCs/>
        </w:rPr>
        <w:fldChar w:fldCharType="end"/>
      </w:r>
      <w:r>
        <w:rPr>
          <w:b w:val="0"/>
          <w:bCs/>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"_Toc14315" </w:instrText>
      </w:r>
      <w:r>
        <w:fldChar w:fldCharType="separate"/>
      </w:r>
      <w:r>
        <w:rPr>
          <w:rFonts w:hint="eastAsia" w:ascii="宋体" w:hAnsi="宋体" w:cs="宋体"/>
          <w:bCs/>
          <w:sz w:val="28"/>
          <w:szCs w:val="28"/>
        </w:rPr>
        <w:t>（一）组织保障</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_Toc14315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"_Toc10931" </w:instrText>
      </w:r>
      <w:r>
        <w:fldChar w:fldCharType="separate"/>
      </w:r>
      <w:r>
        <w:rPr>
          <w:rFonts w:hint="eastAsia" w:ascii="宋体" w:hAnsi="宋体" w:cs="宋体"/>
          <w:bCs/>
          <w:sz w:val="28"/>
          <w:szCs w:val="28"/>
        </w:rPr>
        <w:t>（二）资金保障</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_Toc10931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rFonts w:hint="eastAsia" w:ascii="宋体" w:hAnsi="宋体" w:cs="宋体"/>
          <w:bCs/>
          <w:sz w:val="28"/>
          <w:szCs w:val="28"/>
        </w:rPr>
      </w:pPr>
      <w:r>
        <w:fldChar w:fldCharType="begin"/>
      </w:r>
      <w:r>
        <w:instrText xml:space="preserve"> HYPERLINK \l "_Toc25813" </w:instrText>
      </w:r>
      <w:r>
        <w:fldChar w:fldCharType="separate"/>
      </w:r>
      <w:r>
        <w:rPr>
          <w:rFonts w:hint="eastAsia" w:ascii="宋体" w:hAnsi="宋体" w:cs="宋体"/>
          <w:bCs/>
          <w:sz w:val="28"/>
          <w:szCs w:val="28"/>
        </w:rPr>
        <w:t>（三）用地保障</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_Toc25813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13"/>
        <w:tabs>
          <w:tab w:val="right" w:leader="dot" w:pos="8306"/>
        </w:tabs>
        <w:spacing w:line="480" w:lineRule="auto"/>
        <w:rPr>
          <w:bCs/>
          <w:sz w:val="28"/>
          <w:szCs w:val="28"/>
        </w:rPr>
      </w:pPr>
      <w:r>
        <w:fldChar w:fldCharType="begin"/>
      </w:r>
      <w:r>
        <w:instrText xml:space="preserve"> HYPERLINK \l "_Toc29740" </w:instrText>
      </w:r>
      <w:r>
        <w:fldChar w:fldCharType="separate"/>
      </w:r>
      <w:r>
        <w:rPr>
          <w:rFonts w:hint="eastAsia" w:ascii="宋体" w:hAnsi="宋体" w:cs="宋体"/>
          <w:bCs/>
          <w:sz w:val="28"/>
          <w:szCs w:val="28"/>
        </w:rPr>
        <w:t>（四）评估考核</w:t>
      </w:r>
      <w:r>
        <w:rPr>
          <w:rFonts w:hint="eastAsia" w:ascii="宋体" w:hAnsi="宋体" w:cs="宋体"/>
          <w:bCs/>
          <w:sz w:val="28"/>
          <w:szCs w:val="28"/>
        </w:rPr>
        <w:tab/>
      </w:r>
      <w:r>
        <w:rPr>
          <w:rFonts w:hint="eastAsia" w:ascii="宋体" w:hAnsi="宋体" w:cs="宋体"/>
          <w:bCs/>
          <w:sz w:val="28"/>
          <w:szCs w:val="28"/>
        </w:rPr>
        <w:fldChar w:fldCharType="begin"/>
      </w:r>
      <w:r>
        <w:rPr>
          <w:rFonts w:hint="eastAsia" w:ascii="宋体" w:hAnsi="宋体" w:cs="宋体"/>
          <w:bCs/>
          <w:sz w:val="28"/>
          <w:szCs w:val="28"/>
        </w:rPr>
        <w:instrText xml:space="preserve"> PAGEREF _Toc29740 </w:instrText>
      </w:r>
      <w:r>
        <w:rPr>
          <w:rFonts w:hint="eastAsia" w:ascii="宋体" w:hAnsi="宋体" w:cs="宋体"/>
          <w:bCs/>
          <w:sz w:val="28"/>
          <w:szCs w:val="28"/>
        </w:rPr>
        <w:fldChar w:fldCharType="separate"/>
      </w:r>
      <w:r>
        <w:rPr>
          <w:rFonts w:ascii="宋体" w:hAnsi="宋体" w:cs="宋体"/>
          <w:bCs/>
          <w:sz w:val="28"/>
          <w:szCs w:val="28"/>
          <w:lang w:val="en-US" w:eastAsia="zh-CN"/>
        </w:rPr>
        <w:t>- 3 -</w:t>
      </w:r>
      <w:r>
        <w:rPr>
          <w:rFonts w:hint="eastAsia" w:ascii="宋体" w:hAnsi="宋体" w:cs="宋体"/>
          <w:bCs/>
          <w:sz w:val="28"/>
          <w:szCs w:val="28"/>
        </w:rPr>
        <w:fldChar w:fldCharType="end"/>
      </w:r>
      <w:r>
        <w:rPr>
          <w:rFonts w:hint="eastAsia" w:ascii="宋体" w:hAnsi="宋体" w:cs="宋体"/>
          <w:bCs/>
          <w:sz w:val="28"/>
          <w:szCs w:val="28"/>
        </w:rPr>
        <w:fldChar w:fldCharType="end"/>
      </w:r>
    </w:p>
    <w:p>
      <w:pPr>
        <w:pStyle w:val="2"/>
        <w:spacing w:beforeLines="100" w:line="400" w:lineRule="exact"/>
        <w:jc w:val="both"/>
        <w:rPr>
          <w:rFonts w:ascii="楷体" w:hAnsi="楷体" w:cs="楷体"/>
          <w:b w:val="0"/>
          <w:szCs w:val="28"/>
        </w:rPr>
        <w:sectPr>
          <w:footerReference r:id="rId3" w:type="default"/>
          <w:pgSz w:w="11906" w:h="16838"/>
          <w:pgMar w:top="1440" w:right="1800" w:bottom="1440" w:left="1800" w:header="851" w:footer="1587" w:gutter="0"/>
          <w:pgNumType w:fmt="numberInDash"/>
          <w:cols w:space="720" w:num="1"/>
          <w:titlePg/>
          <w:docGrid w:type="lines" w:linePitch="312" w:charSpace="0"/>
        </w:sectPr>
      </w:pPr>
      <w:r>
        <w:rPr>
          <w:rFonts w:ascii="楷体" w:hAnsi="楷体" w:cs="楷体"/>
          <w:b w:val="0"/>
          <w:bCs/>
          <w:szCs w:val="28"/>
        </w:rPr>
        <w:fldChar w:fldCharType="end"/>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内蒙古自治区人民政府关于促进现代马产业发展的若干意见》(内政发〔2017〕147号)和呼伦贝尔市促进现代马产业发展领导小组工作会议精神，结合马产业发展新趋势及我市实际，特编制《呼伦贝尔市现代马产业发展规划》，规划期限为2019-2025年。</w:t>
      </w:r>
    </w:p>
    <w:p>
      <w:pPr>
        <w:pStyle w:val="2"/>
        <w:ind w:firstLine="640" w:firstLineChars="200"/>
        <w:rPr>
          <w:rFonts w:hint="eastAsia" w:ascii="黑体" w:hAnsi="黑体" w:eastAsia="黑体" w:cs="黑体"/>
          <w:b w:val="0"/>
          <w:bCs/>
          <w:sz w:val="32"/>
          <w:szCs w:val="32"/>
        </w:rPr>
      </w:pPr>
      <w:bookmarkStart w:id="3" w:name="_Toc9192"/>
      <w:bookmarkStart w:id="4" w:name="_Toc19058"/>
      <w:bookmarkStart w:id="5" w:name="_Toc10455"/>
      <w:bookmarkStart w:id="6" w:name="_Toc27888"/>
      <w:bookmarkStart w:id="7" w:name="_Toc2074"/>
      <w:bookmarkStart w:id="8" w:name="_Toc3069"/>
      <w:bookmarkStart w:id="9" w:name="_Toc5347"/>
      <w:bookmarkStart w:id="10" w:name="_Toc29122"/>
      <w:bookmarkStart w:id="11" w:name="_Toc21189_WPSOffice_Level1"/>
      <w:r>
        <w:rPr>
          <w:rFonts w:hint="eastAsia" w:ascii="黑体" w:hAnsi="黑体" w:eastAsia="黑体" w:cs="黑体"/>
          <w:b w:val="0"/>
          <w:bCs/>
          <w:sz w:val="32"/>
          <w:szCs w:val="32"/>
        </w:rPr>
        <w:t>一、呼伦贝尔市马产业发展的现实基础</w:t>
      </w:r>
      <w:bookmarkEnd w:id="0"/>
      <w:bookmarkEnd w:id="1"/>
      <w:bookmarkEnd w:id="2"/>
      <w:bookmarkEnd w:id="3"/>
      <w:bookmarkEnd w:id="4"/>
      <w:bookmarkEnd w:id="5"/>
      <w:bookmarkEnd w:id="6"/>
      <w:bookmarkEnd w:id="7"/>
      <w:bookmarkEnd w:id="8"/>
      <w:bookmarkEnd w:id="9"/>
      <w:bookmarkEnd w:id="10"/>
      <w:bookmarkEnd w:id="11"/>
      <w:bookmarkStart w:id="12" w:name="_Toc1814"/>
      <w:bookmarkStart w:id="13" w:name="_Toc395275235"/>
    </w:p>
    <w:p>
      <w:pPr>
        <w:pStyle w:val="3"/>
        <w:ind w:firstLine="640" w:firstLineChars="200"/>
        <w:rPr>
          <w:rFonts w:hint="eastAsia" w:ascii="仿宋_GB2312" w:hAnsi="仿宋_GB2312" w:eastAsia="仿宋_GB2312" w:cs="仿宋_GB2312"/>
          <w:b w:val="0"/>
          <w:kern w:val="2"/>
          <w:sz w:val="32"/>
          <w:szCs w:val="32"/>
        </w:rPr>
      </w:pPr>
      <w:bookmarkStart w:id="14" w:name="_Toc19857"/>
      <w:bookmarkStart w:id="15" w:name="_Toc9738"/>
      <w:bookmarkStart w:id="16" w:name="_Toc11380"/>
      <w:bookmarkStart w:id="17" w:name="_Toc24123"/>
      <w:bookmarkStart w:id="18" w:name="_Toc26336"/>
      <w:bookmarkStart w:id="19" w:name="_Toc29367_WPSOffice_Level2"/>
      <w:bookmarkStart w:id="20" w:name="_Toc22708"/>
      <w:bookmarkStart w:id="21" w:name="_Toc13459_WPSOffice_Level2"/>
      <w:bookmarkStart w:id="22" w:name="_Toc2454"/>
      <w:bookmarkStart w:id="23" w:name="_Toc9074_WPSOffice_Level2"/>
      <w:bookmarkStart w:id="24" w:name="_Toc15945_WPSOffice_Level2"/>
      <w:bookmarkStart w:id="25" w:name="_Toc22667"/>
      <w:bookmarkStart w:id="26" w:name="_Toc17590"/>
      <w:bookmarkStart w:id="27" w:name="_Toc31088"/>
      <w:r>
        <w:rPr>
          <w:rFonts w:hint="eastAsia" w:ascii="仿宋_GB2312" w:hAnsi="仿宋_GB2312" w:eastAsia="仿宋_GB2312" w:cs="仿宋_GB2312"/>
          <w:b w:val="0"/>
          <w:kern w:val="2"/>
          <w:sz w:val="32"/>
          <w:szCs w:val="32"/>
        </w:rPr>
        <w:t>我市马匹养殖历史悠久，具有蒙古马、三河马等马品种资源，全市地域辽阔，水草等自然资源充足，马产业文化底蕴深厚，民俗旅游资源丰富，区位优势明显，具有马产业发展的现实基础。</w:t>
      </w:r>
    </w:p>
    <w:p>
      <w:pPr>
        <w:pStyle w:val="3"/>
        <w:ind w:firstLine="640" w:firstLineChars="200"/>
        <w:rPr>
          <w:rFonts w:hint="eastAsia" w:ascii="楷体" w:hAnsi="楷体" w:cs="楷体"/>
          <w:b w:val="0"/>
          <w:bCs/>
          <w:sz w:val="32"/>
          <w:szCs w:val="32"/>
        </w:rPr>
      </w:pPr>
      <w:r>
        <w:rPr>
          <w:rFonts w:hint="eastAsia" w:ascii="楷体" w:hAnsi="楷体" w:cs="楷体"/>
          <w:b w:val="0"/>
          <w:bCs/>
          <w:sz w:val="32"/>
          <w:szCs w:val="32"/>
        </w:rPr>
        <w:t>（一）呼伦贝尔市马产业发展现状</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pPr>
        <w:ind w:firstLine="640" w:firstLineChars="200"/>
        <w:rPr>
          <w:rFonts w:hint="eastAsia" w:ascii="仿宋_GB2312" w:hAnsi="仿宋_GB2312" w:eastAsia="仿宋_GB2312" w:cs="仿宋_GB2312"/>
          <w:sz w:val="32"/>
          <w:szCs w:val="32"/>
        </w:rPr>
      </w:pPr>
      <w:bookmarkStart w:id="28" w:name="_Toc13220"/>
      <w:bookmarkStart w:id="29" w:name="_Toc23792"/>
      <w:bookmarkStart w:id="30" w:name="_Toc1641"/>
      <w:bookmarkStart w:id="31" w:name="_Toc18174"/>
      <w:bookmarkStart w:id="32" w:name="_Toc4502"/>
      <w:r>
        <w:rPr>
          <w:rFonts w:hint="eastAsia" w:ascii="仿宋_GB2312" w:hAnsi="仿宋_GB2312" w:eastAsia="仿宋_GB2312" w:cs="仿宋_GB2312"/>
          <w:sz w:val="32"/>
          <w:szCs w:val="32"/>
        </w:rPr>
        <w:t>1、马匹</w:t>
      </w:r>
      <w:bookmarkEnd w:id="28"/>
      <w:bookmarkEnd w:id="29"/>
      <w:bookmarkEnd w:id="30"/>
      <w:r>
        <w:rPr>
          <w:rFonts w:hint="eastAsia" w:ascii="仿宋_GB2312" w:hAnsi="仿宋_GB2312" w:eastAsia="仿宋_GB2312" w:cs="仿宋_GB2312"/>
          <w:sz w:val="32"/>
          <w:szCs w:val="32"/>
        </w:rPr>
        <w:t>存栏与空间分布</w:t>
      </w:r>
      <w:bookmarkEnd w:id="31"/>
      <w:bookmarkEnd w:id="32"/>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马匹存栏数量（年末数）稳中有增，马产业主产区地位牢固。2015-2018年马匹存栏数量由20.92万匹增加到21.33万匹，增长1.92%，年均增长0.64%；其中，海拉尔区、莫力达瓦达斡尔族自治旗、陈巴尔虎旗、满洲里市、牙克石市、扎兰屯市、额尔古纳市分别增长237.99%、36.95%、19.14 %、24.78%、12.73%、25.5%、5.72%，年均分别增长50.07%、11.05%、6.01%、7.66%、4.08%、7.86%、1.87%。同期，阿荣旗、鄂伦春自治旗、鄂温克族自治旗、新巴尔虎左旗、新巴尔虎右旗、根河市分别减少1.33%、5.54%、2.25%、6.13%、11.15%。</w:t>
      </w:r>
    </w:p>
    <w:p>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从空间分布看，2015年鄂温克族自治旗、新巴尔虎左旗、陈巴尔虎旗、阿荣旗、新巴尔虎右旗马匹存栏数量分别占全市马匹存栏数量的19.15%、17.77%、16.10%、13.71%、12.93%，五个旗马匹存栏数量占全市马匹存栏数量的79.65%。2018年鄂温克族自治旗、新巴尔虎左旗、陈巴尔虎旗、阿荣旗、新巴尔虎右旗马匹存栏数量分别占全市马匹存栏数量的17.54%、15.64%、18.81%、12.92%、10.49%，五个旗马匹存栏数量占全市马匹存栏数量的75.41%。五个旗马匹存栏数量在全市的地位有所下降，原因在于莫力达瓦达斡尔族自治旗、扎兰屯市马匹存栏数量增长强劲，2015-2018年,莫力达瓦达斡尔族自治旗、扎兰屯市马匹存栏数量分别增长36.95%、25.50%，年均增长率甚至分别达到11.05%、7.86%所致。尽管如此，五个旗作为全市马业主产区的地位依然牢固。(详见表1）</w:t>
      </w:r>
    </w:p>
    <w:p>
      <w:pPr>
        <w:spacing w:line="600" w:lineRule="exact"/>
        <w:ind w:firstLine="640" w:firstLineChars="200"/>
        <w:rPr>
          <w:rFonts w:hint="eastAsia" w:ascii="仿宋_GB2312" w:hAnsi="仿宋_GB2312" w:eastAsia="仿宋_GB2312" w:cs="仿宋_GB2312"/>
          <w:sz w:val="32"/>
          <w:szCs w:val="32"/>
          <w:highlight w:val="yellow"/>
        </w:rPr>
      </w:pPr>
      <w:r>
        <w:rPr>
          <w:rFonts w:hint="eastAsia" w:ascii="仿宋_GB2312" w:hAnsi="仿宋_GB2312" w:eastAsia="仿宋_GB2312" w:cs="仿宋_GB2312"/>
          <w:sz w:val="32"/>
          <w:szCs w:val="32"/>
        </w:rPr>
        <w:t>——能繁母马增长势头快于马匹存栏数量，为马业发展奠定了重要基础。2015-2018年能繁母马存栏数量由8.44万匹增长到9.39万匹，增长率为11.18%，年均增长率为3.6%，远远快于马匹存栏数量的增长率。其中，海拉尔区、莫力达瓦旗、陈巴尔虎旗、额尔古纳市、新巴尔虎左旗、牙克石市增长速率分别达到229.3%、74.58%、42.14%、31.20%、12.89%、12.81%，增长势头迅猛。各旗县区能繁母马占存栏的比重情况不同，如表3所示，莫力达瓦旗、陈巴尔虎旗、满洲里市能繁母马比重分别为68.5%、66.09%、59.92%，新巴尔虎左旗、新巴尔虎右旗、额尔古纳市、根河市能繁母马比重分别为45.03%、44.50%、44.28%、40.07%，其余旗县区均在40%以下。（详见表2）</w:t>
      </w:r>
    </w:p>
    <w:p>
      <w:pPr>
        <w:ind w:firstLine="640" w:firstLineChars="200"/>
        <w:rPr>
          <w:rFonts w:hint="eastAsia" w:ascii="仿宋_GB2312" w:hAnsi="仿宋_GB2312" w:eastAsia="仿宋_GB2312" w:cs="仿宋_GB2312"/>
          <w:sz w:val="32"/>
          <w:szCs w:val="32"/>
        </w:rPr>
        <w:sectPr>
          <w:footerReference r:id="rId4" w:type="default"/>
          <w:pgSz w:w="11906" w:h="16838"/>
          <w:pgMar w:top="1440" w:right="1800" w:bottom="1440" w:left="1800" w:header="851" w:footer="1587" w:gutter="0"/>
          <w:pgNumType w:fmt="numberInDash"/>
          <w:cols w:space="720" w:num="1"/>
          <w:docGrid w:type="lines" w:linePitch="312" w:charSpace="0"/>
        </w:sectPr>
      </w:pPr>
    </w:p>
    <w:p>
      <w:pPr>
        <w:jc w:val="center"/>
        <w:rPr>
          <w:rFonts w:ascii="楷体" w:hAnsi="楷体" w:eastAsia="楷体" w:cs="楷体"/>
          <w:bCs/>
          <w:sz w:val="24"/>
        </w:rPr>
      </w:pPr>
      <w:r>
        <w:rPr>
          <w:rFonts w:ascii="楷体" w:hAnsi="楷体" w:eastAsia="楷体" w:cs="楷体"/>
          <w:bCs/>
          <w:sz w:val="24"/>
        </w:rPr>
        <w:t>表1 呼伦贝尔市各旗县区马匹总量及分布情况</w:t>
      </w:r>
    </w:p>
    <w:p>
      <w:pPr>
        <w:ind w:firstLine="3600" w:firstLineChars="1500"/>
        <w:jc w:val="right"/>
        <w:rPr>
          <w:rFonts w:ascii="楷体" w:hAnsi="楷体" w:eastAsia="楷体" w:cs="楷体"/>
          <w:bCs/>
          <w:sz w:val="24"/>
        </w:rPr>
      </w:pPr>
      <w:r>
        <w:rPr>
          <w:rFonts w:hint="eastAsia" w:ascii="楷体" w:hAnsi="楷体" w:eastAsia="楷体" w:cs="楷体"/>
          <w:bCs/>
          <w:sz w:val="24"/>
        </w:rPr>
        <w:t>单位：匹、%</w:t>
      </w:r>
    </w:p>
    <w:tbl>
      <w:tblPr>
        <w:tblStyle w:val="15"/>
        <w:tblW w:w="0" w:type="auto"/>
        <w:tblInd w:w="0" w:type="dxa"/>
        <w:tblLayout w:type="fixed"/>
        <w:tblCellMar>
          <w:top w:w="0" w:type="dxa"/>
          <w:left w:w="0" w:type="dxa"/>
          <w:bottom w:w="0" w:type="dxa"/>
          <w:right w:w="0" w:type="dxa"/>
        </w:tblCellMar>
      </w:tblPr>
      <w:tblGrid>
        <w:gridCol w:w="2256"/>
        <w:gridCol w:w="948"/>
        <w:gridCol w:w="1142"/>
        <w:gridCol w:w="1142"/>
        <w:gridCol w:w="1142"/>
        <w:gridCol w:w="1142"/>
        <w:gridCol w:w="1142"/>
        <w:gridCol w:w="1142"/>
        <w:gridCol w:w="1142"/>
        <w:gridCol w:w="1392"/>
        <w:gridCol w:w="1392"/>
      </w:tblGrid>
      <w:tr>
        <w:tblPrEx>
          <w:tblCellMar>
            <w:top w:w="0" w:type="dxa"/>
            <w:left w:w="0" w:type="dxa"/>
            <w:bottom w:w="0" w:type="dxa"/>
            <w:right w:w="0" w:type="dxa"/>
          </w:tblCellMar>
        </w:tblPrEx>
        <w:trPr>
          <w:trHeight w:val="342" w:hRule="atLeast"/>
        </w:trPr>
        <w:tc>
          <w:tcPr>
            <w:tcW w:w="2256" w:type="dxa"/>
            <w:vMerge w:val="restart"/>
            <w:tcBorders>
              <w:top w:val="single" w:color="000000" w:sz="8" w:space="0"/>
              <w:left w:val="single" w:color="000000" w:sz="8" w:space="0"/>
              <w:right w:val="single" w:color="000000" w:sz="8" w:space="0"/>
            </w:tcBorders>
            <w:tcMar>
              <w:top w:w="12" w:type="dxa"/>
              <w:left w:w="12" w:type="dxa"/>
              <w:right w:w="12" w:type="dxa"/>
            </w:tcMar>
            <w:vAlign w:val="bottom"/>
          </w:tcPr>
          <w:p>
            <w:pPr>
              <w:widowControl/>
              <w:spacing w:line="480" w:lineRule="auto"/>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旗县区名称</w:t>
            </w:r>
          </w:p>
        </w:tc>
        <w:tc>
          <w:tcPr>
            <w:tcW w:w="2090" w:type="dxa"/>
            <w:gridSpan w:val="2"/>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2284" w:type="dxa"/>
            <w:gridSpan w:val="2"/>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2284" w:type="dxa"/>
            <w:gridSpan w:val="2"/>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2284" w:type="dxa"/>
            <w:gridSpan w:val="2"/>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2018</w:t>
            </w:r>
          </w:p>
        </w:tc>
        <w:tc>
          <w:tcPr>
            <w:tcW w:w="1392" w:type="dxa"/>
            <w:vMerge w:val="restart"/>
            <w:tcBorders>
              <w:top w:val="single" w:color="000000" w:sz="8" w:space="0"/>
              <w:left w:val="nil"/>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增长率</w:t>
            </w:r>
          </w:p>
        </w:tc>
        <w:tc>
          <w:tcPr>
            <w:tcW w:w="1392" w:type="dxa"/>
            <w:vMerge w:val="restart"/>
            <w:tcBorders>
              <w:top w:val="single" w:color="000000" w:sz="8" w:space="0"/>
              <w:left w:val="nil"/>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年均增长率</w:t>
            </w:r>
          </w:p>
        </w:tc>
      </w:tr>
      <w:tr>
        <w:tblPrEx>
          <w:tblCellMar>
            <w:top w:w="0" w:type="dxa"/>
            <w:left w:w="0" w:type="dxa"/>
            <w:bottom w:w="0" w:type="dxa"/>
            <w:right w:w="0" w:type="dxa"/>
          </w:tblCellMar>
        </w:tblPrEx>
        <w:trPr>
          <w:trHeight w:val="312" w:hRule="atLeast"/>
        </w:trPr>
        <w:tc>
          <w:tcPr>
            <w:tcW w:w="2256" w:type="dxa"/>
            <w:vMerge w:val="continue"/>
            <w:tcBorders>
              <w:left w:val="single" w:color="000000" w:sz="8" w:space="0"/>
              <w:bottom w:val="single" w:color="000000" w:sz="8" w:space="0"/>
              <w:right w:val="single" w:color="000000" w:sz="8" w:space="0"/>
            </w:tcBorders>
            <w:tcMar>
              <w:top w:w="12" w:type="dxa"/>
              <w:left w:w="12" w:type="dxa"/>
              <w:right w:w="12" w:type="dxa"/>
            </w:tcMar>
            <w:vAlign w:val="bottom"/>
          </w:tcPr>
          <w:p>
            <w:pPr>
              <w:jc w:val="center"/>
              <w:rPr>
                <w:rFonts w:ascii="楷体" w:hAnsi="楷体" w:eastAsia="楷体" w:cs="楷体"/>
                <w:color w:val="000000"/>
                <w:sz w:val="20"/>
                <w:szCs w:val="20"/>
              </w:rPr>
            </w:pP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存栏数量</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存栏占比</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存栏数量</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存栏占比</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存栏数量</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存栏占比</w:t>
            </w:r>
          </w:p>
        </w:tc>
        <w:tc>
          <w:tcPr>
            <w:tcW w:w="1142" w:type="dxa"/>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存栏数量</w:t>
            </w:r>
          </w:p>
        </w:tc>
        <w:tc>
          <w:tcPr>
            <w:tcW w:w="1142" w:type="dxa"/>
            <w:tcBorders>
              <w:top w:val="single" w:color="000000" w:sz="8" w:space="0"/>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存栏占比</w:t>
            </w:r>
          </w:p>
        </w:tc>
        <w:tc>
          <w:tcPr>
            <w:tcW w:w="1392" w:type="dxa"/>
            <w:vMerge w:val="continue"/>
            <w:tcBorders>
              <w:left w:val="nil"/>
              <w:bottom w:val="single" w:color="000000" w:sz="8" w:space="0"/>
              <w:right w:val="single" w:color="000000" w:sz="8" w:space="0"/>
            </w:tcBorders>
            <w:tcMar>
              <w:top w:w="12" w:type="dxa"/>
              <w:left w:w="12" w:type="dxa"/>
              <w:right w:w="12" w:type="dxa"/>
            </w:tcMar>
            <w:vAlign w:val="center"/>
          </w:tcPr>
          <w:p>
            <w:pPr>
              <w:jc w:val="center"/>
              <w:rPr>
                <w:rFonts w:ascii="楷体" w:hAnsi="楷体" w:eastAsia="楷体" w:cs="楷体"/>
                <w:color w:val="000000"/>
                <w:sz w:val="20"/>
                <w:szCs w:val="20"/>
              </w:rPr>
            </w:pPr>
          </w:p>
        </w:tc>
        <w:tc>
          <w:tcPr>
            <w:tcW w:w="1392" w:type="dxa"/>
            <w:vMerge w:val="continue"/>
            <w:tcBorders>
              <w:left w:val="nil"/>
              <w:bottom w:val="single" w:color="000000" w:sz="8" w:space="0"/>
              <w:right w:val="single" w:color="000000" w:sz="8" w:space="0"/>
            </w:tcBorders>
            <w:tcMar>
              <w:top w:w="12" w:type="dxa"/>
              <w:left w:w="12" w:type="dxa"/>
              <w:right w:w="12" w:type="dxa"/>
            </w:tcMar>
            <w:vAlign w:val="center"/>
          </w:tcPr>
          <w:p>
            <w:pPr>
              <w:jc w:val="center"/>
              <w:rPr>
                <w:rFonts w:ascii="楷体" w:hAnsi="楷体" w:eastAsia="楷体" w:cs="楷体"/>
                <w:color w:val="000000"/>
                <w:sz w:val="20"/>
                <w:szCs w:val="20"/>
              </w:rPr>
            </w:pP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海拉尔区</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437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0.20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1788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0.80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1304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0.63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1477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0.63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237.99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50.07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阿荣旗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28690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12.96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27560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12.27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5670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27560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11.80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-3.94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-1.33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hint="eastAsia" w:ascii="楷体" w:hAnsi="楷体" w:eastAsia="楷体" w:cs="楷体"/>
                <w:color w:val="000000"/>
                <w:sz w:val="20"/>
                <w:szCs w:val="20"/>
                <w:lang w:eastAsia="zh-CN"/>
              </w:rPr>
            </w:pPr>
            <w:r>
              <w:rPr>
                <w:rFonts w:hint="eastAsia" w:ascii="楷体" w:hAnsi="楷体" w:eastAsia="楷体" w:cs="楷体"/>
                <w:color w:val="000000"/>
                <w:kern w:val="0"/>
                <w:sz w:val="20"/>
                <w:szCs w:val="20"/>
                <w:lang w:eastAsia="zh-CN"/>
              </w:rPr>
              <w:t>莫力达瓦达斡尔族自治旗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13874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6.27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7224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3.22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13418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6.44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19000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8.13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36.95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11.05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鄂伦春自治旗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2557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1.16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2132</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0.95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3049</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1.46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2155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0.92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-15.72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-5.54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鄂温克族自治旗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40073</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18.10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37424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16.66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39403</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18.92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37424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16.02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-6.61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-2.25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陈巴尔虎旗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33687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15.22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34626</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15.42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35498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17.04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40136</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17.18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19.14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6.01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新巴尔虎左旗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37190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16.80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35966</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16.02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33371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16.02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33371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14.28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-10.27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-3.55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新巴尔虎右旗</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27061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12.22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26218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11.67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26271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12.61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22385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9.58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-17.28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-6.13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满洲里市</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230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230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235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0.11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287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0.12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24.78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7.66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牙克石市</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6120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2.76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11500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5.12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5814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2.79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7127</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3.05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16.45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5.21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扎兰屯市</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10586</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4.78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12525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5.58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11528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5.53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13285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5.69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25.50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7.86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额尔古纳市</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8290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3.75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11708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5.21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14841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7.12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8764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3.75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5.72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1.87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根河市</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499</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0.23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312</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0.14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505</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0.24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350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0.15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-29.86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-11.15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农垦集团</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12064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5.45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15361</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6.84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17399</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8.35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20309</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8.69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68.34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18.96 </w:t>
            </w:r>
          </w:p>
        </w:tc>
      </w:tr>
      <w:tr>
        <w:tblPrEx>
          <w:tblCellMar>
            <w:top w:w="0" w:type="dxa"/>
            <w:left w:w="0" w:type="dxa"/>
            <w:bottom w:w="0" w:type="dxa"/>
            <w:right w:w="0" w:type="dxa"/>
          </w:tblCellMar>
        </w:tblPrEx>
        <w:trPr>
          <w:trHeight w:val="312" w:hRule="atLeast"/>
        </w:trPr>
        <w:tc>
          <w:tcPr>
            <w:tcW w:w="2256" w:type="dxa"/>
            <w:tcBorders>
              <w:top w:val="nil"/>
              <w:left w:val="single" w:color="000000" w:sz="8" w:space="0"/>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合计</w:t>
            </w:r>
          </w:p>
        </w:tc>
        <w:tc>
          <w:tcPr>
            <w:tcW w:w="94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221358</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224574</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208306</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233630</w:t>
            </w:r>
          </w:p>
        </w:tc>
        <w:tc>
          <w:tcPr>
            <w:tcW w:w="114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5.54 </w:t>
            </w:r>
          </w:p>
        </w:tc>
        <w:tc>
          <w:tcPr>
            <w:tcW w:w="139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1.81 </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资料来源：根据历年呼伦贝尔市统计年鉴和实际调研资料加工整理。</w:t>
      </w:r>
    </w:p>
    <w:p>
      <w:pPr>
        <w:tabs>
          <w:tab w:val="left" w:pos="522"/>
        </w:tabs>
        <w:jc w:val="left"/>
        <w:sectPr>
          <w:pgSz w:w="16838" w:h="11906" w:orient="landscape"/>
          <w:pgMar w:top="1800" w:right="1440" w:bottom="1800" w:left="1440" w:header="851" w:footer="1587" w:gutter="0"/>
          <w:pgNumType w:fmt="numberInDash"/>
          <w:cols w:space="720" w:num="1"/>
          <w:docGrid w:type="lines" w:linePitch="312" w:charSpace="0"/>
        </w:sectPr>
      </w:pPr>
    </w:p>
    <w:p>
      <w:pPr>
        <w:jc w:val="center"/>
        <w:rPr>
          <w:rFonts w:ascii="楷体" w:hAnsi="楷体" w:eastAsia="楷体" w:cs="楷体"/>
          <w:bCs/>
          <w:sz w:val="24"/>
        </w:rPr>
      </w:pPr>
      <w:r>
        <w:rPr>
          <w:rFonts w:ascii="楷体" w:hAnsi="楷体" w:eastAsia="楷体" w:cs="楷体"/>
          <w:bCs/>
          <w:sz w:val="24"/>
        </w:rPr>
        <w:t>表</w:t>
      </w:r>
      <w:r>
        <w:rPr>
          <w:rFonts w:hint="eastAsia" w:ascii="楷体" w:hAnsi="楷体" w:eastAsia="楷体" w:cs="楷体"/>
          <w:bCs/>
          <w:sz w:val="24"/>
        </w:rPr>
        <w:t>2  能繁母马的空间分布</w:t>
      </w:r>
    </w:p>
    <w:p>
      <w:pPr>
        <w:jc w:val="right"/>
        <w:rPr>
          <w:rFonts w:ascii="楷体" w:hAnsi="楷体" w:eastAsia="楷体" w:cs="楷体"/>
          <w:bCs/>
          <w:sz w:val="24"/>
        </w:rPr>
      </w:pPr>
      <w:r>
        <w:rPr>
          <w:rFonts w:hint="eastAsia" w:ascii="楷体" w:hAnsi="楷体" w:eastAsia="楷体" w:cs="楷体"/>
          <w:bCs/>
          <w:sz w:val="24"/>
        </w:rPr>
        <w:t>单位：匹、%</w:t>
      </w:r>
    </w:p>
    <w:tbl>
      <w:tblPr>
        <w:tblStyle w:val="15"/>
        <w:tblW w:w="0" w:type="auto"/>
        <w:jc w:val="center"/>
        <w:tblLayout w:type="fixed"/>
        <w:tblCellMar>
          <w:top w:w="0" w:type="dxa"/>
          <w:left w:w="0" w:type="dxa"/>
          <w:bottom w:w="0" w:type="dxa"/>
          <w:right w:w="0" w:type="dxa"/>
        </w:tblCellMar>
      </w:tblPr>
      <w:tblGrid>
        <w:gridCol w:w="2313"/>
        <w:gridCol w:w="1368"/>
        <w:gridCol w:w="794"/>
        <w:gridCol w:w="1556"/>
        <w:gridCol w:w="794"/>
        <w:gridCol w:w="1557"/>
        <w:gridCol w:w="793"/>
        <w:gridCol w:w="1602"/>
        <w:gridCol w:w="817"/>
        <w:gridCol w:w="1433"/>
        <w:gridCol w:w="1433"/>
      </w:tblGrid>
      <w:tr>
        <w:trPr>
          <w:trHeight w:val="373" w:hRule="atLeast"/>
          <w:jc w:val="center"/>
        </w:trPr>
        <w:tc>
          <w:tcPr>
            <w:tcW w:w="2313" w:type="dxa"/>
            <w:vMerge w:val="restart"/>
            <w:tcBorders>
              <w:top w:val="single" w:color="000000" w:sz="8" w:space="0"/>
              <w:left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旗县区名称</w:t>
            </w:r>
          </w:p>
        </w:tc>
        <w:tc>
          <w:tcPr>
            <w:tcW w:w="2162"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2350"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2350"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2419"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2018</w:t>
            </w:r>
          </w:p>
        </w:tc>
        <w:tc>
          <w:tcPr>
            <w:tcW w:w="1433" w:type="dxa"/>
            <w:vMerge w:val="restart"/>
            <w:tcBorders>
              <w:top w:val="single" w:color="000000" w:sz="8" w:space="0"/>
              <w:left w:val="nil"/>
              <w:right w:val="single" w:color="000000" w:sz="8" w:space="0"/>
            </w:tcBorders>
            <w:tcMar>
              <w:top w:w="12" w:type="dxa"/>
              <w:left w:w="12" w:type="dxa"/>
              <w:right w:w="12" w:type="dxa"/>
            </w:tcMar>
            <w:vAlign w:val="bottom"/>
          </w:tcPr>
          <w:p>
            <w:pPr>
              <w:widowControl/>
              <w:spacing w:line="480" w:lineRule="auto"/>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增长率</w:t>
            </w:r>
          </w:p>
        </w:tc>
        <w:tc>
          <w:tcPr>
            <w:tcW w:w="1433" w:type="dxa"/>
            <w:vMerge w:val="restart"/>
            <w:tcBorders>
              <w:top w:val="single" w:color="000000" w:sz="8" w:space="0"/>
              <w:left w:val="nil"/>
              <w:right w:val="single" w:color="000000" w:sz="8" w:space="0"/>
            </w:tcBorders>
            <w:tcMar>
              <w:top w:w="12" w:type="dxa"/>
              <w:left w:w="12" w:type="dxa"/>
              <w:right w:w="12" w:type="dxa"/>
            </w:tcMar>
            <w:vAlign w:val="bottom"/>
          </w:tcPr>
          <w:p>
            <w:pPr>
              <w:widowControl/>
              <w:spacing w:line="480" w:lineRule="auto"/>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年均增长率</w:t>
            </w:r>
          </w:p>
        </w:tc>
      </w:tr>
      <w:tr>
        <w:trPr>
          <w:trHeight w:val="358" w:hRule="atLeast"/>
          <w:jc w:val="center"/>
        </w:trPr>
        <w:tc>
          <w:tcPr>
            <w:tcW w:w="2313" w:type="dxa"/>
            <w:vMerge w:val="continue"/>
            <w:tcBorders>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ascii="楷体" w:hAnsi="楷体" w:eastAsia="楷体" w:cs="楷体"/>
                <w:color w:val="000000"/>
                <w:sz w:val="20"/>
                <w:szCs w:val="20"/>
              </w:rPr>
            </w:pP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1557"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793"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1602"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817"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1433" w:type="dxa"/>
            <w:vMerge w:val="continue"/>
            <w:tcBorders>
              <w:left w:val="nil"/>
              <w:bottom w:val="single" w:color="000000" w:sz="8" w:space="0"/>
              <w:right w:val="single" w:color="000000" w:sz="8" w:space="0"/>
            </w:tcBorders>
            <w:tcMar>
              <w:top w:w="12" w:type="dxa"/>
              <w:left w:w="12" w:type="dxa"/>
              <w:right w:w="12" w:type="dxa"/>
            </w:tcMar>
            <w:vAlign w:val="bottom"/>
          </w:tcPr>
          <w:p>
            <w:pPr>
              <w:jc w:val="center"/>
              <w:rPr>
                <w:rFonts w:ascii="楷体" w:hAnsi="楷体" w:eastAsia="楷体" w:cs="楷体"/>
                <w:color w:val="000000"/>
                <w:sz w:val="20"/>
                <w:szCs w:val="20"/>
              </w:rPr>
            </w:pPr>
          </w:p>
        </w:tc>
        <w:tc>
          <w:tcPr>
            <w:tcW w:w="1433" w:type="dxa"/>
            <w:vMerge w:val="continue"/>
            <w:tcBorders>
              <w:left w:val="nil"/>
              <w:bottom w:val="single" w:color="000000" w:sz="8" w:space="0"/>
              <w:right w:val="single" w:color="000000" w:sz="8" w:space="0"/>
            </w:tcBorders>
            <w:tcMar>
              <w:top w:w="12" w:type="dxa"/>
              <w:left w:w="12" w:type="dxa"/>
              <w:right w:w="12" w:type="dxa"/>
            </w:tcMar>
            <w:vAlign w:val="bottom"/>
          </w:tcPr>
          <w:p>
            <w:pPr>
              <w:jc w:val="center"/>
              <w:rPr>
                <w:rFonts w:ascii="楷体" w:hAnsi="楷体" w:eastAsia="楷体" w:cs="楷体"/>
                <w:color w:val="000000"/>
                <w:sz w:val="20"/>
                <w:szCs w:val="20"/>
              </w:rPr>
            </w:pP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海拉尔区</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148</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0.16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605</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0.62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430</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0.47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487</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0.46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229.05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48.74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阿荣旗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9860</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10.99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9845</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10.01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1985</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2.18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9646</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9.12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-2.17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-0.73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楷体" w:hAnsi="楷体" w:eastAsia="楷体" w:cs="楷体"/>
                <w:color w:val="000000"/>
                <w:sz w:val="20"/>
                <w:szCs w:val="20"/>
                <w:lang w:eastAsia="zh-CN"/>
              </w:rPr>
            </w:pPr>
            <w:r>
              <w:rPr>
                <w:rFonts w:hint="eastAsia" w:ascii="楷体" w:hAnsi="楷体" w:eastAsia="楷体" w:cs="楷体"/>
                <w:color w:val="000000"/>
                <w:kern w:val="0"/>
                <w:sz w:val="20"/>
                <w:szCs w:val="20"/>
                <w:lang w:eastAsia="zh-CN"/>
              </w:rPr>
              <w:t>莫力达瓦达斡尔族自治旗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7455</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8.31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5304</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5.39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8531</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9.35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13015</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12.30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74.58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20.41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鄂伦春自治旗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763</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0.85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519</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0.53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826</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0.91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554</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0.52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-27.39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-10.12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鄂温克族自治旗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13363</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14.89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13363</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13.59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13605</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14.91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13142</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12.42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-1.65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-0.55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陈巴尔虎旗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16919</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18.86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20138</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20.47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19237</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21.09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24049</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22.73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42.14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12.44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新巴尔虎左旗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13310</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14.83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17302</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17.59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13998</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15.35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15026</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14.20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12.89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4.13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新巴尔虎右旗</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11394</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12.70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11876</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12.07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11481</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12.59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9961</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9.41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-12.58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-4.38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满洲里市</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152</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0.17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152</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0.15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155</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0.17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190</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0.18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25.00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7.72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牙克石市</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2474</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2.76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3964</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4.03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2022</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2.22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2791</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2.64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12.81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4.10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扎兰屯市</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5441</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6.06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2881</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2.93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4288</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4.70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3999</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3.78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-26.50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-9.75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额尔古纳市</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2958</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3.30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5520</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5.61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6810</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7.47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3881</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3.67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31.20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9.48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根河市</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176</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0.20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130</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0.13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194</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0.21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140</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0.13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-20.45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-7.34 </w:t>
            </w:r>
          </w:p>
        </w:tc>
      </w:tr>
      <w:tr>
        <w:trPr>
          <w:trHeight w:val="35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农垦集团</w:t>
            </w:r>
          </w:p>
        </w:tc>
        <w:tc>
          <w:tcPr>
            <w:tcW w:w="1368"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5308 </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5.92 </w:t>
            </w:r>
          </w:p>
        </w:tc>
        <w:tc>
          <w:tcPr>
            <w:tcW w:w="1556"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6759 </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6.87 </w:t>
            </w:r>
          </w:p>
        </w:tc>
        <w:tc>
          <w:tcPr>
            <w:tcW w:w="1557"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7656 </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8.39 </w:t>
            </w:r>
          </w:p>
        </w:tc>
        <w:tc>
          <w:tcPr>
            <w:tcW w:w="160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8936 </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8.44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68.34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18.96 </w:t>
            </w:r>
          </w:p>
        </w:tc>
      </w:tr>
      <w:tr>
        <w:trPr>
          <w:trHeight w:val="378" w:hRule="atLeast"/>
          <w:jc w:val="center"/>
        </w:trPr>
        <w:tc>
          <w:tcPr>
            <w:tcW w:w="2313"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合计</w:t>
            </w:r>
          </w:p>
        </w:tc>
        <w:tc>
          <w:tcPr>
            <w:tcW w:w="136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89721 </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556"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98358 </w:t>
            </w:r>
          </w:p>
        </w:tc>
        <w:tc>
          <w:tcPr>
            <w:tcW w:w="794"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5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91218 </w:t>
            </w:r>
          </w:p>
        </w:tc>
        <w:tc>
          <w:tcPr>
            <w:tcW w:w="793"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6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105817 </w:t>
            </w:r>
          </w:p>
        </w:tc>
        <w:tc>
          <w:tcPr>
            <w:tcW w:w="81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100.00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17.94 </w:t>
            </w:r>
          </w:p>
        </w:tc>
        <w:tc>
          <w:tcPr>
            <w:tcW w:w="1433"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5.65 </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资料来源：根据历年呼伦贝尔市统计年鉴和实际调研资料加工整理。</w:t>
      </w:r>
    </w:p>
    <w:p>
      <w:pPr>
        <w:tabs>
          <w:tab w:val="left" w:pos="522"/>
        </w:tabs>
        <w:jc w:val="left"/>
        <w:sectPr>
          <w:pgSz w:w="16838" w:h="11906" w:orient="landscape"/>
          <w:pgMar w:top="1800" w:right="1440" w:bottom="1800" w:left="1440" w:header="851" w:footer="992" w:gutter="0"/>
          <w:pgNumType w:fmt="numberInDash"/>
          <w:cols w:space="720" w:num="1"/>
          <w:docGrid w:type="lines" w:linePitch="312" w:charSpace="0"/>
        </w:sectPr>
      </w:pPr>
    </w:p>
    <w:p>
      <w:pPr>
        <w:jc w:val="center"/>
        <w:rPr>
          <w:rFonts w:ascii="楷体" w:hAnsi="楷体" w:eastAsia="楷体" w:cs="楷体"/>
          <w:bCs/>
          <w:sz w:val="24"/>
        </w:rPr>
      </w:pPr>
      <w:r>
        <w:rPr>
          <w:rFonts w:ascii="楷体" w:hAnsi="楷体" w:eastAsia="楷体" w:cs="楷体"/>
          <w:bCs/>
          <w:sz w:val="24"/>
        </w:rPr>
        <w:t>表</w:t>
      </w:r>
      <w:r>
        <w:rPr>
          <w:rFonts w:hint="eastAsia" w:ascii="楷体" w:hAnsi="楷体" w:eastAsia="楷体" w:cs="楷体"/>
          <w:bCs/>
          <w:sz w:val="24"/>
        </w:rPr>
        <w:t>3  呼伦贝尔市各旗县区能繁母马数量占马匹存栏数量比重</w:t>
      </w:r>
    </w:p>
    <w:p>
      <w:pPr>
        <w:jc w:val="right"/>
      </w:pPr>
      <w:r>
        <w:rPr>
          <w:rFonts w:hint="eastAsia" w:ascii="楷体" w:hAnsi="楷体" w:eastAsia="楷体" w:cs="楷体"/>
          <w:bCs/>
          <w:sz w:val="24"/>
        </w:rPr>
        <w:t>单位：匹、%</w:t>
      </w:r>
    </w:p>
    <w:tbl>
      <w:tblPr>
        <w:tblStyle w:val="15"/>
        <w:tblW w:w="0" w:type="auto"/>
        <w:jc w:val="center"/>
        <w:tblLayout w:type="fixed"/>
        <w:tblCellMar>
          <w:top w:w="0" w:type="dxa"/>
          <w:left w:w="0" w:type="dxa"/>
          <w:bottom w:w="0" w:type="dxa"/>
          <w:right w:w="0" w:type="dxa"/>
        </w:tblCellMar>
      </w:tblPr>
      <w:tblGrid>
        <w:gridCol w:w="2944"/>
        <w:gridCol w:w="2001"/>
        <w:gridCol w:w="858"/>
        <w:gridCol w:w="2002"/>
        <w:gridCol w:w="858"/>
        <w:gridCol w:w="2001"/>
        <w:gridCol w:w="857"/>
        <w:gridCol w:w="2001"/>
        <w:gridCol w:w="858"/>
      </w:tblGrid>
      <w:tr>
        <w:tblPrEx>
          <w:tblCellMar>
            <w:top w:w="0" w:type="dxa"/>
            <w:left w:w="0" w:type="dxa"/>
            <w:bottom w:w="0" w:type="dxa"/>
            <w:right w:w="0" w:type="dxa"/>
          </w:tblCellMar>
        </w:tblPrEx>
        <w:trPr>
          <w:trHeight w:val="327" w:hRule="atLeast"/>
          <w:jc w:val="center"/>
        </w:trPr>
        <w:tc>
          <w:tcPr>
            <w:tcW w:w="2944" w:type="dxa"/>
            <w:vMerge w:val="restart"/>
            <w:tcBorders>
              <w:top w:val="single" w:color="000000" w:sz="8" w:space="0"/>
              <w:left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旗县区名称</w:t>
            </w:r>
          </w:p>
        </w:tc>
        <w:tc>
          <w:tcPr>
            <w:tcW w:w="2859"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2860"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2858"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2859" w:type="dxa"/>
            <w:gridSpan w:val="2"/>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2018</w:t>
            </w:r>
          </w:p>
        </w:tc>
      </w:tr>
      <w:tr>
        <w:tblPrEx>
          <w:tblCellMar>
            <w:top w:w="0" w:type="dxa"/>
            <w:left w:w="0" w:type="dxa"/>
            <w:bottom w:w="0" w:type="dxa"/>
            <w:right w:w="0" w:type="dxa"/>
          </w:tblCellMar>
        </w:tblPrEx>
        <w:trPr>
          <w:trHeight w:val="327" w:hRule="atLeast"/>
          <w:jc w:val="center"/>
        </w:trPr>
        <w:tc>
          <w:tcPr>
            <w:tcW w:w="2944" w:type="dxa"/>
            <w:vMerge w:val="continue"/>
            <w:tcBorders>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ascii="楷体" w:hAnsi="楷体" w:eastAsia="楷体" w:cs="楷体"/>
                <w:color w:val="000000"/>
                <w:sz w:val="20"/>
                <w:szCs w:val="20"/>
              </w:rPr>
            </w:pP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2001"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857"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c>
          <w:tcPr>
            <w:tcW w:w="2001"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能繁母马数量</w:t>
            </w:r>
          </w:p>
        </w:tc>
        <w:tc>
          <w:tcPr>
            <w:tcW w:w="858" w:type="dxa"/>
            <w:tcBorders>
              <w:top w:val="single" w:color="000000" w:sz="8" w:space="0"/>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占比</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海拉尔区</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148</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33.87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605</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33.84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430</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32.98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487</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32.97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阿荣旗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9860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34.37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9845</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35.72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1985</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35.01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9646</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35.00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楷体" w:hAnsi="楷体" w:eastAsia="楷体" w:cs="楷体"/>
                <w:color w:val="000000"/>
                <w:sz w:val="20"/>
                <w:szCs w:val="20"/>
                <w:lang w:eastAsia="zh-CN"/>
              </w:rPr>
            </w:pPr>
            <w:r>
              <w:rPr>
                <w:rFonts w:hint="eastAsia" w:ascii="楷体" w:hAnsi="楷体" w:eastAsia="楷体" w:cs="楷体"/>
                <w:color w:val="000000"/>
                <w:kern w:val="0"/>
                <w:sz w:val="20"/>
                <w:szCs w:val="20"/>
                <w:lang w:eastAsia="zh-CN"/>
              </w:rPr>
              <w:t>莫力达瓦达斡尔族自治旗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7455</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53.73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5304</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73.42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8531</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63.58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13015</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68.50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鄂伦春自治旗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763</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29.84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519</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24.34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826</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27.09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554</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25.71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鄂温克族自治旗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13363</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33.35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13363</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35.71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13605</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34.53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13142</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35.12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陈巴尔虎旗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16919</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50.22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20138</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58.16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19237</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54.19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24049</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59.92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新巴尔虎左旗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13310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35.79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17302</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48.11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13998</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41.95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15026</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45.03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新巴尔虎右旗</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11394</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42.10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11876</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45.30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11481</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43.70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9961</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44.50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满洲里市</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152</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66.09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152</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66.09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155</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65.96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66.20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牙克石市</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2474</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40.42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3964</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34.47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2022</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34.78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2791</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39.16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扎兰屯市</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5441</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51.40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2881</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23.00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4288</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37.20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3999</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30.10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额尔古纳市</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2958</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35.68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5520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47.15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6810</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45.89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3881</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44.28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根河市</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176</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35.27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41.67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194</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38.42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140</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40.00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农垦集团</w:t>
            </w:r>
          </w:p>
        </w:tc>
        <w:tc>
          <w:tcPr>
            <w:tcW w:w="2001"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5308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44.00 </w:t>
            </w:r>
          </w:p>
        </w:tc>
        <w:tc>
          <w:tcPr>
            <w:tcW w:w="2002"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6759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44.00 </w:t>
            </w:r>
          </w:p>
        </w:tc>
        <w:tc>
          <w:tcPr>
            <w:tcW w:w="2001"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7656 </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44.00 </w:t>
            </w:r>
          </w:p>
        </w:tc>
        <w:tc>
          <w:tcPr>
            <w:tcW w:w="2001" w:type="dxa"/>
            <w:tcBorders>
              <w:top w:val="nil"/>
              <w:left w:val="nil"/>
              <w:bottom w:val="single" w:color="000000" w:sz="8" w:space="0"/>
              <w:right w:val="single" w:color="000000" w:sz="8" w:space="0"/>
            </w:tcBorders>
            <w:tcMar>
              <w:top w:w="12" w:type="dxa"/>
              <w:left w:w="12" w:type="dxa"/>
              <w:right w:w="12" w:type="dxa"/>
            </w:tcMar>
            <w:vAlign w:val="bottom"/>
          </w:tcPr>
          <w:p>
            <w:pPr>
              <w:widowControl/>
              <w:jc w:val="center"/>
              <w:textAlignment w:val="bottom"/>
              <w:rPr>
                <w:rFonts w:ascii="楷体" w:hAnsi="楷体" w:eastAsia="楷体" w:cs="楷体"/>
                <w:color w:val="000000"/>
                <w:sz w:val="20"/>
                <w:szCs w:val="20"/>
              </w:rPr>
            </w:pPr>
            <w:r>
              <w:rPr>
                <w:rFonts w:hint="eastAsia" w:ascii="楷体" w:hAnsi="楷体" w:eastAsia="楷体" w:cs="楷体"/>
                <w:color w:val="000000"/>
                <w:kern w:val="0"/>
                <w:sz w:val="20"/>
                <w:szCs w:val="20"/>
              </w:rPr>
              <w:t xml:space="preserve">8936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44.00 </w:t>
            </w:r>
          </w:p>
        </w:tc>
      </w:tr>
      <w:tr>
        <w:tblPrEx>
          <w:tblCellMar>
            <w:top w:w="0" w:type="dxa"/>
            <w:left w:w="0" w:type="dxa"/>
            <w:bottom w:w="0" w:type="dxa"/>
            <w:right w:w="0" w:type="dxa"/>
          </w:tblCellMar>
        </w:tblPrEx>
        <w:trPr>
          <w:trHeight w:val="327" w:hRule="atLeast"/>
          <w:jc w:val="center"/>
        </w:trPr>
        <w:tc>
          <w:tcPr>
            <w:tcW w:w="2944" w:type="dxa"/>
            <w:tcBorders>
              <w:top w:val="nil"/>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合计</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89721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40.53 </w:t>
            </w:r>
          </w:p>
        </w:tc>
        <w:tc>
          <w:tcPr>
            <w:tcW w:w="2002"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98358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43.80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91218 </w:t>
            </w:r>
          </w:p>
        </w:tc>
        <w:tc>
          <w:tcPr>
            <w:tcW w:w="857"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43.79 </w:t>
            </w:r>
          </w:p>
        </w:tc>
        <w:tc>
          <w:tcPr>
            <w:tcW w:w="2001"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105817 </w:t>
            </w:r>
          </w:p>
        </w:tc>
        <w:tc>
          <w:tcPr>
            <w:tcW w:w="858" w:type="dxa"/>
            <w:tcBorders>
              <w:top w:val="nil"/>
              <w:left w:val="nil"/>
              <w:bottom w:val="single" w:color="000000" w:sz="8" w:space="0"/>
              <w:right w:val="single" w:color="000000" w:sz="8"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45.29 </w:t>
            </w:r>
          </w:p>
        </w:tc>
      </w:tr>
    </w:tbl>
    <w:p>
      <w:pPr>
        <w:tabs>
          <w:tab w:val="left" w:pos="6051"/>
        </w:tabs>
        <w:ind w:firstLine="420" w:firstLineChars="200"/>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资料来源：根据历年呼伦贝尔市统计年鉴和实际调研资料加工整理。</w:t>
      </w:r>
    </w:p>
    <w:p>
      <w:pPr>
        <w:tabs>
          <w:tab w:val="left" w:pos="613"/>
        </w:tabs>
        <w:jc w:val="left"/>
        <w:sectPr>
          <w:pgSz w:w="16838" w:h="11906" w:orient="landscape"/>
          <w:pgMar w:top="1800" w:right="1440" w:bottom="1800" w:left="1440" w:header="851" w:footer="992" w:gutter="0"/>
          <w:pgNumType w:fmt="numberInDash"/>
          <w:cols w:space="720" w:num="1"/>
          <w:docGrid w:type="lines" w:linePitch="312" w:charSpace="0"/>
        </w:sectPr>
      </w:pPr>
    </w:p>
    <w:p>
      <w:pPr>
        <w:ind w:firstLine="640" w:firstLineChars="200"/>
        <w:rPr>
          <w:rFonts w:ascii="仿宋_GB2312" w:hAnsi="仿宋_GB2312" w:eastAsia="仿宋_GB2312" w:cs="仿宋_GB2312"/>
          <w:sz w:val="32"/>
          <w:szCs w:val="32"/>
        </w:rPr>
      </w:pPr>
      <w:bookmarkStart w:id="33" w:name="_Toc29808"/>
      <w:r>
        <w:rPr>
          <w:rFonts w:hint="eastAsia" w:ascii="仿宋_GB2312" w:hAnsi="仿宋_GB2312" w:eastAsia="仿宋_GB2312" w:cs="仿宋_GB2312"/>
          <w:sz w:val="32"/>
          <w:szCs w:val="32"/>
        </w:rPr>
        <w:t>2、马匹养殖基础</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（1）马品种资源</w:t>
      </w:r>
      <w:bookmarkEnd w:id="33"/>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市主要以蒙古族世代饲养的蒙古马、自主培育的三河马为主。蒙古马是中国乃至全世界较为古老的品种之一，是典型的草原马种，被农业部确定为138个国家级畜禽遗传资源保护品种之一。三河马品种于1986年通过国家标准鉴定。</w:t>
      </w:r>
      <w:r>
        <w:rPr>
          <w:rFonts w:hint="eastAsia" w:ascii="仿宋_GB2312" w:hAnsi="仿宋_GB2312" w:eastAsia="仿宋_GB2312" w:cs="仿宋_GB2312"/>
          <w:spacing w:val="8"/>
          <w:sz w:val="32"/>
          <w:szCs w:val="32"/>
        </w:rPr>
        <w:t>此外，兼有部分锡尼河马和少量鄂伦春马及国外引进马匹品种。</w:t>
      </w:r>
    </w:p>
    <w:p>
      <w:pPr>
        <w:ind w:firstLine="640" w:firstLineChars="200"/>
        <w:rPr>
          <w:rFonts w:hint="eastAsia" w:ascii="仿宋_GB2312" w:hAnsi="仿宋_GB2312" w:eastAsia="仿宋_GB2312" w:cs="仿宋_GB2312"/>
          <w:sz w:val="32"/>
          <w:szCs w:val="32"/>
        </w:rPr>
      </w:pPr>
      <w:bookmarkStart w:id="34" w:name="_Toc30777"/>
      <w:r>
        <w:rPr>
          <w:rFonts w:hint="eastAsia" w:ascii="仿宋_GB2312" w:hAnsi="仿宋_GB2312" w:eastAsia="仿宋_GB2312" w:cs="仿宋_GB2312"/>
          <w:sz w:val="32"/>
          <w:szCs w:val="32"/>
        </w:rPr>
        <w:t>（2）品种保护及繁育</w:t>
      </w:r>
      <w:bookmarkEnd w:id="34"/>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年来，我市加大马品种保护及繁育力度，积极引导养殖大会开展蒙古马遗传资源保护。大力推进地方特色品种三河马繁育进度，建成全区首家三河马育马基地，形成企业、马业协会、专业合作社、牧民多方参与的联合繁育体系。同时，积极开展鄂伦春马保护和繁育工作，并认定大兴安岭马新类群，为马产业发展提供新品种选择。</w:t>
      </w:r>
    </w:p>
    <w:p>
      <w:pPr>
        <w:ind w:firstLine="640" w:firstLineChars="200"/>
        <w:rPr>
          <w:rFonts w:hint="eastAsia" w:ascii="仿宋_GB2312" w:hAnsi="仿宋_GB2312" w:eastAsia="仿宋_GB2312" w:cs="仿宋_GB2312"/>
          <w:sz w:val="32"/>
          <w:szCs w:val="32"/>
        </w:rPr>
      </w:pPr>
      <w:bookmarkStart w:id="35" w:name="_Toc26546"/>
      <w:r>
        <w:rPr>
          <w:rFonts w:hint="eastAsia" w:ascii="仿宋_GB2312" w:hAnsi="仿宋_GB2312" w:eastAsia="仿宋_GB2312" w:cs="仿宋_GB2312"/>
          <w:sz w:val="32"/>
          <w:szCs w:val="32"/>
        </w:rPr>
        <w:t>（3）防疫情况</w:t>
      </w:r>
      <w:bookmarkEnd w:id="35"/>
    </w:p>
    <w:p>
      <w:pPr>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color w:val="000000"/>
          <w:sz w:val="32"/>
          <w:szCs w:val="32"/>
        </w:rPr>
        <w:t>近几年，我市不断加大动物防疫投入力度，基础设施不断完善，人员素质不断提升，防控能力不断提高，防控措施进一步落实，现已形成市、旗（市区）、苏木（乡镇）三级联防体系，全市各级兽医专业技术人员近744名、官方兽医525人、嘎查村级防疫员1788人，马传贫、马鼻疽等疫病得到有效控制，近年来未发生重大动物疫情，为马产业健康发展奠定良好基础条件。</w:t>
      </w:r>
    </w:p>
    <w:p>
      <w:pPr>
        <w:ind w:firstLine="640" w:firstLineChars="200"/>
        <w:rPr>
          <w:rFonts w:hint="eastAsia" w:ascii="仿宋_GB2312" w:hAnsi="仿宋_GB2312" w:eastAsia="仿宋_GB2312" w:cs="仿宋_GB2312"/>
          <w:sz w:val="32"/>
          <w:szCs w:val="32"/>
        </w:rPr>
      </w:pPr>
      <w:bookmarkStart w:id="36" w:name="_Toc2870"/>
      <w:r>
        <w:rPr>
          <w:rFonts w:hint="eastAsia" w:ascii="仿宋_GB2312" w:hAnsi="仿宋_GB2312" w:eastAsia="仿宋_GB2312" w:cs="仿宋_GB2312"/>
          <w:sz w:val="32"/>
          <w:szCs w:val="32"/>
        </w:rPr>
        <w:t>（4）马匹养殖主体</w:t>
      </w:r>
      <w:bookmarkEnd w:id="36"/>
    </w:p>
    <w:p>
      <w:pPr>
        <w:ind w:firstLine="640" w:firstLineChars="200"/>
        <w:rPr>
          <w:rFonts w:hint="eastAsia" w:ascii="仿宋_GB2312" w:hAnsi="仿宋_GB2312" w:eastAsia="仿宋_GB2312" w:cs="仿宋_GB2312"/>
          <w:sz w:val="32"/>
          <w:szCs w:val="32"/>
        </w:rPr>
        <w:sectPr>
          <w:pgSz w:w="11906" w:h="16838"/>
          <w:pgMar w:top="1440" w:right="1800" w:bottom="1440" w:left="1800" w:header="851" w:footer="992" w:gutter="0"/>
          <w:pgNumType w:fmt="numberInDash"/>
          <w:cols w:space="720" w:num="1"/>
          <w:docGrid w:type="lines" w:linePitch="312" w:charSpace="0"/>
        </w:sectPr>
      </w:pPr>
      <w:r>
        <w:rPr>
          <w:rFonts w:hint="eastAsia" w:ascii="仿宋_GB2312" w:hAnsi="仿宋_GB2312" w:eastAsia="仿宋_GB2312" w:cs="仿宋_GB2312"/>
          <w:sz w:val="32"/>
          <w:szCs w:val="32"/>
        </w:rPr>
        <w:t>我市马匹养殖主体包括家庭牧场、合作社、企业、俱乐部、养殖大户，以出售骑乘、娱乐、竞赛用马和肉用马及马奶制品为主。2018年，全市注册登记的马企业</w:t>
      </w:r>
      <w:r>
        <w:rPr>
          <w:rFonts w:hint="eastAsia" w:ascii="仿宋_GB2312" w:hAnsi="仿宋_GB2312" w:eastAsia="仿宋_GB2312" w:cs="仿宋_GB2312"/>
          <w:color w:val="000000"/>
          <w:sz w:val="32"/>
          <w:szCs w:val="32"/>
        </w:rPr>
        <w:t>2</w:t>
      </w:r>
      <w:r>
        <w:rPr>
          <w:rFonts w:hint="eastAsia" w:ascii="仿宋_GB2312" w:hAnsi="仿宋_GB2312" w:eastAsia="仿宋_GB2312" w:cs="仿宋_GB2312"/>
          <w:sz w:val="32"/>
          <w:szCs w:val="32"/>
        </w:rPr>
        <w:t>家，专业合作社或养殖场15家，马俱乐部1家。其中：合作社以出售马产品，提供牧家乐、休闲旅游服务为主；企业、俱乐部以培训、选种、繁育、赛马为主。养殖主体呈现多元化发展趋势。（详见表4）</w:t>
      </w:r>
    </w:p>
    <w:p>
      <w:pPr>
        <w:ind w:firstLine="480" w:firstLineChars="200"/>
        <w:jc w:val="center"/>
        <w:rPr>
          <w:rFonts w:ascii="楷体" w:hAnsi="楷体" w:eastAsia="楷体" w:cs="楷体"/>
          <w:bCs/>
          <w:sz w:val="24"/>
        </w:rPr>
      </w:pPr>
      <w:r>
        <w:rPr>
          <w:rFonts w:hint="eastAsia" w:ascii="楷体" w:hAnsi="楷体" w:eastAsia="楷体" w:cs="楷体"/>
          <w:bCs/>
          <w:sz w:val="24"/>
        </w:rPr>
        <w:t>表4  马养殖主体基本情况</w:t>
      </w:r>
    </w:p>
    <w:p>
      <w:pPr>
        <w:ind w:firstLine="480" w:firstLineChars="200"/>
        <w:jc w:val="center"/>
        <w:rPr>
          <w:rFonts w:ascii="楷体" w:hAnsi="楷体" w:eastAsia="楷体" w:cs="楷体"/>
          <w:bCs/>
          <w:sz w:val="24"/>
        </w:rPr>
      </w:pPr>
    </w:p>
    <w:tbl>
      <w:tblPr>
        <w:tblStyle w:val="15"/>
        <w:tblW w:w="0" w:type="auto"/>
        <w:tblInd w:w="0" w:type="dxa"/>
        <w:tblLayout w:type="fixed"/>
        <w:tblCellMar>
          <w:top w:w="0" w:type="dxa"/>
          <w:left w:w="0" w:type="dxa"/>
          <w:bottom w:w="0" w:type="dxa"/>
          <w:right w:w="0" w:type="dxa"/>
        </w:tblCellMar>
      </w:tblPr>
      <w:tblGrid>
        <w:gridCol w:w="3624"/>
        <w:gridCol w:w="1140"/>
        <w:gridCol w:w="960"/>
        <w:gridCol w:w="2745"/>
        <w:gridCol w:w="1065"/>
        <w:gridCol w:w="990"/>
        <w:gridCol w:w="1200"/>
        <w:gridCol w:w="1184"/>
        <w:gridCol w:w="1074"/>
      </w:tblGrid>
      <w:tr>
        <w:tblPrEx>
          <w:tblCellMar>
            <w:top w:w="0" w:type="dxa"/>
            <w:left w:w="0" w:type="dxa"/>
            <w:bottom w:w="0" w:type="dxa"/>
            <w:right w:w="0" w:type="dxa"/>
          </w:tblCellMar>
        </w:tblPrEx>
        <w:trPr>
          <w:trHeight w:val="104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企业（合作社）名称</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所在地</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注册资金</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经营方向和主要产品</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占地或草场面积（亩）</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员工、会员数（人）</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马匹数（匹）</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其中能繁母马（匹）</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销售收入（万元）</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喜兰马场</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鄂伦春</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牙克石市绰河源膘肥马养殖场</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5300</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129</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120</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牙克石市盛红牧场</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2200</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75</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35</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呼蓝养马专业合作社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新右旗天骏马业合作社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r>
              <w:rPr>
                <w:rFonts w:hint="eastAsia" w:ascii="楷体" w:hAnsi="楷体" w:eastAsia="楷体" w:cs="楷体"/>
                <w:color w:val="000000"/>
                <w:kern w:val="0"/>
                <w:sz w:val="20"/>
                <w:szCs w:val="20"/>
              </w:rPr>
              <w:t>驯马，骑马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新右旗达苏乐巴尔虎马养殖专业合作社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新巴尔虎右旗陶丽养马专业合作社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新右旗</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鄂温克旗猎人马产业牧民专业合作社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鄂温克旗鸿萨日乐养马合作社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鄂温克旗阿吉拿马业合作社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950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鄂温克旗乌楞宝日马业合作社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巴彦塔拉马业专业合作社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巴彦嵯岗牧人马业合作社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1000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敖拉马业专业合作社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390</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鄂温克旗乌仁巴图马业牧民专业合作社</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出售马肉、马奶和乳肉兼用马</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252</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内蒙古卡伦堡大兴安岭马繁育有限公司</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2000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大兴安岭马地方品种资源保护、品种培育和纯种繁育、马马休闲骑乘、产学研基地</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1500</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748</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350</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鄂温克旗科兴马业发展有限公司</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鄂温克</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210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kern w:val="0"/>
                <w:sz w:val="20"/>
                <w:szCs w:val="20"/>
              </w:rPr>
              <w:t>三河马地方品种资源保护、品种培育和纯种繁育、马竞技体育、产学研基地</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35</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2000</w:t>
            </w:r>
          </w:p>
        </w:tc>
      </w:tr>
      <w:tr>
        <w:tblPrEx>
          <w:tblCellMar>
            <w:top w:w="0" w:type="dxa"/>
            <w:left w:w="0" w:type="dxa"/>
            <w:bottom w:w="0" w:type="dxa"/>
            <w:right w:w="0" w:type="dxa"/>
          </w:tblCellMar>
        </w:tblPrEx>
        <w:trPr>
          <w:trHeight w:val="700" w:hRule="atLeast"/>
        </w:trPr>
        <w:tc>
          <w:tcPr>
            <w:tcW w:w="362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牙克石市德拉姆马术俱乐部</w:t>
            </w:r>
          </w:p>
        </w:tc>
        <w:tc>
          <w:tcPr>
            <w:tcW w:w="114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牙克石</w:t>
            </w:r>
          </w:p>
        </w:tc>
        <w:tc>
          <w:tcPr>
            <w:tcW w:w="9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2000</w:t>
            </w:r>
          </w:p>
        </w:tc>
        <w:tc>
          <w:tcPr>
            <w:tcW w:w="27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马术运动、表演马术、文化马术、旅游马术</w:t>
            </w:r>
          </w:p>
        </w:tc>
        <w:tc>
          <w:tcPr>
            <w:tcW w:w="106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5500</w:t>
            </w:r>
          </w:p>
        </w:tc>
        <w:tc>
          <w:tcPr>
            <w:tcW w:w="99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204</w:t>
            </w:r>
          </w:p>
        </w:tc>
        <w:tc>
          <w:tcPr>
            <w:tcW w:w="11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40</w:t>
            </w:r>
          </w:p>
        </w:tc>
        <w:tc>
          <w:tcPr>
            <w:tcW w:w="107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资料来源：根据实际调研资料加工整理。</w:t>
      </w:r>
    </w:p>
    <w:p>
      <w:pPr>
        <w:ind w:firstLine="560" w:firstLineChars="200"/>
        <w:rPr>
          <w:rFonts w:ascii="楷体" w:hAnsi="楷体" w:eastAsia="楷体" w:cs="楷体"/>
          <w:sz w:val="28"/>
          <w:szCs w:val="28"/>
        </w:rPr>
        <w:sectPr>
          <w:pgSz w:w="16838" w:h="11906" w:orient="landscape"/>
          <w:pgMar w:top="1800" w:right="1440" w:bottom="1800" w:left="1440" w:header="851" w:footer="992" w:gutter="0"/>
          <w:pgNumType w:fmt="numberInDash"/>
          <w:cols w:space="720" w:num="1"/>
          <w:docGrid w:type="lines" w:linePitch="312" w:charSpace="0"/>
        </w:sectPr>
      </w:pPr>
    </w:p>
    <w:p>
      <w:pPr>
        <w:ind w:firstLine="640" w:firstLineChars="200"/>
        <w:rPr>
          <w:rFonts w:hint="eastAsia" w:ascii="仿宋_GB2312" w:hAnsi="仿宋_GB2312" w:eastAsia="仿宋_GB2312" w:cs="仿宋_GB2312"/>
          <w:sz w:val="32"/>
          <w:szCs w:val="32"/>
        </w:rPr>
      </w:pPr>
      <w:bookmarkStart w:id="37" w:name="_Toc15823"/>
      <w:bookmarkStart w:id="38" w:name="_Toc8383"/>
      <w:bookmarkStart w:id="39" w:name="_Toc17866_WPSOffice_Level3"/>
      <w:bookmarkStart w:id="40" w:name="_Toc25488"/>
      <w:bookmarkStart w:id="41" w:name="_Toc32285"/>
      <w:r>
        <w:rPr>
          <w:rFonts w:hint="eastAsia" w:ascii="仿宋_GB2312" w:hAnsi="仿宋_GB2312" w:eastAsia="仿宋_GB2312" w:cs="仿宋_GB2312"/>
          <w:sz w:val="32"/>
          <w:szCs w:val="32"/>
        </w:rPr>
        <w:t>3、马产品开发与利用</w:t>
      </w:r>
      <w:bookmarkEnd w:id="37"/>
      <w:bookmarkEnd w:id="38"/>
      <w:bookmarkEnd w:id="39"/>
      <w:bookmarkEnd w:id="40"/>
      <w:bookmarkEnd w:id="41"/>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目前，全市马产品加工企业有6家，主要生产马</w:t>
      </w:r>
      <w:r>
        <w:rPr>
          <w:rFonts w:hint="eastAsia" w:ascii="仿宋_GB2312" w:hAnsi="仿宋_GB2312" w:eastAsia="仿宋_GB2312" w:cs="仿宋_GB2312"/>
          <w:spacing w:val="-6"/>
          <w:sz w:val="32"/>
          <w:szCs w:val="32"/>
        </w:rPr>
        <w:t>肉、酸马奶、马奶酒等产品，产品销售区域以呼伦贝尔为主。</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（1）马肉产品</w:t>
      </w:r>
    </w:p>
    <w:p>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马肉有着独特的营养价值，其瘦肉多，脂肪少，必需氨基酸和不饱和脂肪酸含量丰富，是天然、绿色、营养的高附加值产品，有广阔的市场前景。</w:t>
      </w:r>
      <w:r>
        <w:rPr>
          <w:rFonts w:hint="eastAsia" w:ascii="仿宋_GB2312" w:hAnsi="仿宋_GB2312" w:eastAsia="仿宋_GB2312" w:cs="仿宋_GB2312"/>
          <w:color w:val="000000"/>
          <w:sz w:val="32"/>
          <w:szCs w:val="32"/>
        </w:rPr>
        <w:t>2012-2018年全市马肉产量由8627吨增长到12153吨，增加3526吨，增长率为40.87%。（详见表5）</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（2）马奶产品</w:t>
      </w:r>
    </w:p>
    <w:p>
      <w:pPr>
        <w:ind w:firstLine="640" w:firstLineChars="200"/>
        <w:rPr>
          <w:rFonts w:hint="eastAsia" w:ascii="楷体" w:hAnsi="楷体" w:eastAsia="仿宋_GB2312" w:cs="楷体"/>
          <w:color w:val="000000"/>
          <w:sz w:val="28"/>
          <w:szCs w:val="28"/>
        </w:rPr>
      </w:pPr>
      <w:r>
        <w:rPr>
          <w:rFonts w:hint="eastAsia" w:ascii="仿宋_GB2312" w:hAnsi="仿宋_GB2312" w:eastAsia="仿宋_GB2312" w:cs="仿宋_GB2312"/>
          <w:sz w:val="32"/>
          <w:szCs w:val="32"/>
        </w:rPr>
        <w:t>近年来，我市不断加大马奶产品研究，并积极推动其在医疗保健方面的广泛应用。酸马奶对肺结核、贫血及消化道疾病有显著的疗效，是不可多得的保健奶制品。马奶酒是营养价值较高的饮品，是牧区的高档礼仪酒。马奶</w:t>
      </w:r>
      <w:r>
        <w:rPr>
          <w:rFonts w:hint="eastAsia" w:ascii="仿宋_GB2312" w:hAnsi="仿宋_GB2312" w:eastAsia="仿宋_GB2312" w:cs="仿宋_GB2312"/>
          <w:color w:val="000000"/>
          <w:sz w:val="32"/>
          <w:szCs w:val="32"/>
        </w:rPr>
        <w:t>是开发酸马奶和马奶酒的雄厚资源。</w:t>
      </w:r>
      <w:r>
        <w:rPr>
          <w:rFonts w:hint="eastAsia" w:ascii="仿宋_GB2312" w:hAnsi="仿宋_GB2312" w:eastAsia="仿宋_GB2312" w:cs="仿宋_GB2312"/>
          <w:sz w:val="32"/>
          <w:szCs w:val="32"/>
        </w:rPr>
        <w:t>2012-2018年马奶产量由5606吨增</w:t>
      </w:r>
      <w:r>
        <w:rPr>
          <w:rFonts w:hint="eastAsia" w:ascii="仿宋_GB2312" w:hAnsi="仿宋_GB2312" w:eastAsia="仿宋_GB2312" w:cs="仿宋_GB2312"/>
          <w:spacing w:val="-6"/>
          <w:sz w:val="32"/>
          <w:szCs w:val="32"/>
        </w:rPr>
        <w:t>长到8994吨，增长了3388吨，增长率为60.44%。（详见表5）</w:t>
      </w:r>
    </w:p>
    <w:p>
      <w:pPr>
        <w:ind w:firstLine="480" w:firstLineChars="200"/>
        <w:jc w:val="center"/>
        <w:rPr>
          <w:rFonts w:hint="eastAsia" w:ascii="楷体" w:hAnsi="楷体" w:eastAsia="楷体" w:cs="楷体"/>
          <w:bCs/>
          <w:color w:val="000000"/>
          <w:sz w:val="24"/>
        </w:rPr>
      </w:pPr>
    </w:p>
    <w:p>
      <w:pPr>
        <w:ind w:firstLine="480" w:firstLineChars="200"/>
        <w:jc w:val="center"/>
        <w:rPr>
          <w:rFonts w:ascii="楷体" w:hAnsi="楷体" w:eastAsia="楷体" w:cs="楷体"/>
          <w:bCs/>
          <w:color w:val="000000"/>
          <w:sz w:val="24"/>
        </w:rPr>
      </w:pPr>
      <w:r>
        <w:rPr>
          <w:rFonts w:hint="eastAsia" w:ascii="楷体" w:hAnsi="楷体" w:eastAsia="楷体" w:cs="楷体"/>
          <w:bCs/>
          <w:color w:val="000000"/>
          <w:sz w:val="24"/>
        </w:rPr>
        <w:t>表5  马产品及产量</w:t>
      </w:r>
    </w:p>
    <w:p>
      <w:pPr>
        <w:ind w:firstLine="480" w:firstLineChars="200"/>
        <w:jc w:val="right"/>
        <w:rPr>
          <w:rFonts w:ascii="楷体" w:hAnsi="楷体" w:eastAsia="楷体" w:cs="楷体"/>
          <w:bCs/>
          <w:color w:val="000000"/>
          <w:sz w:val="24"/>
        </w:rPr>
      </w:pPr>
      <w:r>
        <w:rPr>
          <w:rFonts w:hint="eastAsia" w:ascii="楷体" w:hAnsi="楷体" w:eastAsia="楷体" w:cs="楷体"/>
          <w:bCs/>
          <w:color w:val="000000"/>
          <w:sz w:val="24"/>
        </w:rPr>
        <w:t>单位:吨</w:t>
      </w:r>
    </w:p>
    <w:tbl>
      <w:tblPr>
        <w:tblStyle w:val="15"/>
        <w:tblW w:w="0" w:type="auto"/>
        <w:tblInd w:w="0" w:type="dxa"/>
        <w:tblLayout w:type="fixed"/>
        <w:tblCellMar>
          <w:top w:w="0" w:type="dxa"/>
          <w:left w:w="0" w:type="dxa"/>
          <w:bottom w:w="0" w:type="dxa"/>
          <w:right w:w="0" w:type="dxa"/>
        </w:tblCellMar>
      </w:tblPr>
      <w:tblGrid>
        <w:gridCol w:w="1806"/>
        <w:gridCol w:w="938"/>
        <w:gridCol w:w="938"/>
        <w:gridCol w:w="939"/>
        <w:gridCol w:w="950"/>
        <w:gridCol w:w="950"/>
        <w:gridCol w:w="951"/>
        <w:gridCol w:w="951"/>
      </w:tblGrid>
      <w:tr>
        <w:tblPrEx>
          <w:tblCellMar>
            <w:top w:w="0" w:type="dxa"/>
            <w:left w:w="0" w:type="dxa"/>
            <w:bottom w:w="0" w:type="dxa"/>
            <w:right w:w="0" w:type="dxa"/>
          </w:tblCellMar>
        </w:tblPrEx>
        <w:trPr>
          <w:trHeight w:val="460" w:hRule="atLeast"/>
        </w:trPr>
        <w:tc>
          <w:tcPr>
            <w:tcW w:w="1806"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 xml:space="preserve">产品类别       </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2012</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2013</w:t>
            </w:r>
          </w:p>
        </w:tc>
        <w:tc>
          <w:tcPr>
            <w:tcW w:w="939"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2014</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2018</w:t>
            </w:r>
          </w:p>
        </w:tc>
      </w:tr>
      <w:tr>
        <w:tblPrEx>
          <w:tblCellMar>
            <w:top w:w="0" w:type="dxa"/>
            <w:left w:w="0" w:type="dxa"/>
            <w:bottom w:w="0" w:type="dxa"/>
            <w:right w:w="0" w:type="dxa"/>
          </w:tblCellMar>
        </w:tblPrEx>
        <w:trPr>
          <w:trHeight w:val="480" w:hRule="atLeast"/>
        </w:trPr>
        <w:tc>
          <w:tcPr>
            <w:tcW w:w="1806"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马肉</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8627</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9295</w:t>
            </w:r>
          </w:p>
        </w:tc>
        <w:tc>
          <w:tcPr>
            <w:tcW w:w="939"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10707</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9981</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11752</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11459</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12153</w:t>
            </w:r>
          </w:p>
        </w:tc>
      </w:tr>
      <w:tr>
        <w:tblPrEx>
          <w:tblCellMar>
            <w:top w:w="0" w:type="dxa"/>
            <w:left w:w="0" w:type="dxa"/>
            <w:bottom w:w="0" w:type="dxa"/>
            <w:right w:w="0" w:type="dxa"/>
          </w:tblCellMar>
        </w:tblPrEx>
        <w:trPr>
          <w:trHeight w:val="493" w:hRule="atLeast"/>
        </w:trPr>
        <w:tc>
          <w:tcPr>
            <w:tcW w:w="1806"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马奶</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5606</w:t>
            </w:r>
          </w:p>
        </w:tc>
        <w:tc>
          <w:tcPr>
            <w:tcW w:w="938"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6427</w:t>
            </w:r>
          </w:p>
        </w:tc>
        <w:tc>
          <w:tcPr>
            <w:tcW w:w="939"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8269</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8325</w:t>
            </w:r>
          </w:p>
        </w:tc>
        <w:tc>
          <w:tcPr>
            <w:tcW w:w="950"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7578</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8409</w:t>
            </w:r>
          </w:p>
        </w:tc>
        <w:tc>
          <w:tcPr>
            <w:tcW w:w="951" w:type="dxa"/>
            <w:tcBorders>
              <w:top w:val="single" w:color="auto" w:sz="4" w:space="0"/>
              <w:left w:val="single" w:color="auto" w:sz="4" w:space="0"/>
              <w:bottom w:val="single" w:color="auto" w:sz="4" w:space="0"/>
              <w:right w:val="single" w:color="auto"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8994</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资料来源：根据历年呼伦贝尔市统计年鉴和实际调研资料加工整理。</w:t>
      </w:r>
    </w:p>
    <w:p>
      <w:pPr>
        <w:tabs>
          <w:tab w:val="left" w:pos="6051"/>
        </w:tabs>
        <w:jc w:val="left"/>
        <w:rPr>
          <w:rFonts w:ascii="楷体" w:hAnsi="楷体" w:eastAsia="楷体" w:cs="楷体"/>
          <w:color w:val="000000"/>
          <w:szCs w:val="21"/>
        </w:rPr>
      </w:pPr>
    </w:p>
    <w:p>
      <w:pPr>
        <w:ind w:firstLine="640" w:firstLineChars="200"/>
        <w:rPr>
          <w:rFonts w:hint="eastAsia" w:ascii="仿宋_GB2312" w:hAnsi="仿宋_GB2312" w:eastAsia="仿宋_GB2312" w:cs="仿宋_GB2312"/>
          <w:sz w:val="32"/>
          <w:szCs w:val="32"/>
        </w:rPr>
      </w:pPr>
      <w:bookmarkStart w:id="42" w:name="_Toc1988"/>
      <w:bookmarkStart w:id="43" w:name="_Toc13193"/>
      <w:bookmarkStart w:id="44" w:name="_Toc20011"/>
      <w:bookmarkStart w:id="45" w:name="_Toc16321_WPSOffice_Level3"/>
    </w:p>
    <w:p>
      <w:pPr>
        <w:ind w:firstLine="640" w:firstLineChars="200"/>
        <w:rPr>
          <w:rFonts w:hint="eastAsia" w:ascii="仿宋_GB2312" w:hAnsi="仿宋_GB2312" w:eastAsia="仿宋_GB2312" w:cs="仿宋_GB2312"/>
          <w:sz w:val="32"/>
          <w:szCs w:val="32"/>
        </w:rPr>
      </w:pPr>
      <w:bookmarkStart w:id="46" w:name="_Toc20750"/>
      <w:r>
        <w:rPr>
          <w:rFonts w:hint="eastAsia" w:ascii="仿宋_GB2312" w:hAnsi="仿宋_GB2312" w:eastAsia="仿宋_GB2312" w:cs="仿宋_GB2312"/>
          <w:sz w:val="32"/>
          <w:szCs w:val="32"/>
        </w:rPr>
        <w:t>4、体育休闲骑乘娱乐马业</w:t>
      </w:r>
      <w:bookmarkEnd w:id="42"/>
      <w:bookmarkEnd w:id="43"/>
      <w:bookmarkEnd w:id="44"/>
      <w:bookmarkEnd w:id="45"/>
      <w:bookmarkEnd w:id="46"/>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市建有大中型赛马场6个，先后承办中国马术大赛，中国草原大赛马等一系列大型赛事活动。每年以旗市区、苏木和嘎查为单位举办的草原那达慕和以景区、牧人之家为单位供游客欣赏的草原赛马活动300余场，同时“夏季丰收那达慕会”和“冬季冰雪节”举行的赛马比赛等文体赛事已经成为具有影响力的名牌赛事。随着我市旅游业的发展，景区的休闲娱乐骑乘项目也增加了马匹的需求量，每年用于旅游休闲骑乘活动和马术表演运动的马达千匹以上。同时我市注重专业马术教育，鄂温克旗职业中学开设了目前全区唯一的马术专业，招录牧民家庭中的子女对其进行</w:t>
      </w:r>
      <w:r>
        <w:rPr>
          <w:rFonts w:hint="eastAsia" w:ascii="仿宋_GB2312" w:hAnsi="仿宋_GB2312" w:eastAsia="仿宋_GB2312" w:cs="仿宋_GB2312"/>
          <w:spacing w:val="-6"/>
          <w:sz w:val="32"/>
          <w:szCs w:val="32"/>
        </w:rPr>
        <w:t>马术专业知识培养，先后为区内外输送了120多名专业毕业生。</w:t>
      </w:r>
    </w:p>
    <w:p>
      <w:pPr>
        <w:ind w:firstLine="640" w:firstLineChars="200"/>
        <w:rPr>
          <w:rFonts w:hint="eastAsia" w:ascii="仿宋_GB2312" w:hAnsi="仿宋_GB2312" w:eastAsia="仿宋_GB2312" w:cs="仿宋_GB2312"/>
          <w:sz w:val="32"/>
          <w:szCs w:val="32"/>
        </w:rPr>
      </w:pPr>
      <w:bookmarkStart w:id="47" w:name="_Toc25037"/>
      <w:bookmarkStart w:id="48" w:name="_Toc7260"/>
      <w:bookmarkStart w:id="49" w:name="_Toc16475"/>
      <w:bookmarkStart w:id="50" w:name="_Toc16573_WPSOffice_Level3"/>
      <w:bookmarkStart w:id="51" w:name="_Toc29074"/>
      <w:r>
        <w:rPr>
          <w:rFonts w:hint="eastAsia" w:ascii="仿宋_GB2312" w:hAnsi="仿宋_GB2312" w:eastAsia="仿宋_GB2312" w:cs="仿宋_GB2312"/>
          <w:sz w:val="32"/>
          <w:szCs w:val="32"/>
        </w:rPr>
        <w:t>5、马文化弘扬</w:t>
      </w:r>
      <w:bookmarkEnd w:id="47"/>
      <w:bookmarkEnd w:id="48"/>
      <w:bookmarkEnd w:id="49"/>
      <w:bookmarkEnd w:id="50"/>
      <w:bookmarkEnd w:id="51"/>
    </w:p>
    <w:p>
      <w:pPr>
        <w:ind w:firstLine="640" w:firstLineChars="200"/>
        <w:rPr>
          <w:rFonts w:hint="eastAsia" w:ascii="仿宋_GB2312" w:hAnsi="仿宋_GB2312" w:eastAsia="仿宋_GB2312" w:cs="仿宋_GB2312"/>
          <w:color w:val="FF0000"/>
          <w:sz w:val="32"/>
          <w:szCs w:val="32"/>
          <w:highlight w:val="yellow"/>
        </w:rPr>
      </w:pPr>
      <w:r>
        <w:rPr>
          <w:rFonts w:hint="eastAsia" w:ascii="仿宋_GB2312" w:hAnsi="仿宋_GB2312" w:eastAsia="仿宋_GB2312" w:cs="仿宋_GB2312"/>
          <w:sz w:val="32"/>
          <w:szCs w:val="32"/>
        </w:rPr>
        <w:t>马文化是草原文化的重要标志，弘扬“蒙古马精神”已经成为时代的需要。</w:t>
      </w:r>
      <w:r>
        <w:rPr>
          <w:rFonts w:hint="eastAsia" w:ascii="仿宋_GB2312" w:hAnsi="仿宋_GB2312" w:eastAsia="仿宋_GB2312" w:cs="仿宋_GB2312"/>
          <w:color w:val="000000"/>
          <w:sz w:val="32"/>
          <w:szCs w:val="32"/>
        </w:rPr>
        <w:t>近年来，我市政府高度重视马文化建设，专门成立“马文化协会”，并从政策制定、基础设施建设、项目引进、资金投入、人才培养等方面，大力支持马文化产业发展，马</w:t>
      </w:r>
      <w:r>
        <w:rPr>
          <w:rFonts w:hint="eastAsia" w:ascii="仿宋_GB2312" w:hAnsi="仿宋_GB2312" w:eastAsia="仿宋_GB2312" w:cs="仿宋_GB2312"/>
          <w:sz w:val="32"/>
          <w:szCs w:val="32"/>
        </w:rPr>
        <w:t>饰品、绘画、雕刻、邮票、陶瓷等工艺品日益丰富。目前，全市有马文化博物馆1家，每年举办万马奔腾旅游文化节等文化活动120余次。</w:t>
      </w:r>
    </w:p>
    <w:p>
      <w:pPr>
        <w:ind w:firstLine="640" w:firstLineChars="200"/>
        <w:rPr>
          <w:rFonts w:hint="eastAsia" w:ascii="仿宋_GB2312" w:hAnsi="仿宋_GB2312" w:eastAsia="仿宋_GB2312" w:cs="仿宋_GB2312"/>
          <w:sz w:val="32"/>
          <w:szCs w:val="32"/>
        </w:rPr>
      </w:pPr>
      <w:bookmarkStart w:id="52" w:name="_Toc25802"/>
      <w:bookmarkStart w:id="53" w:name="_Toc18963_WPSOffice_Level3"/>
      <w:bookmarkStart w:id="54" w:name="_Toc22103"/>
      <w:bookmarkStart w:id="55" w:name="_Toc12381"/>
      <w:bookmarkStart w:id="56" w:name="_Toc27276"/>
      <w:r>
        <w:rPr>
          <w:rFonts w:hint="eastAsia" w:ascii="仿宋_GB2312" w:hAnsi="仿宋_GB2312" w:eastAsia="仿宋_GB2312" w:cs="仿宋_GB2312"/>
          <w:sz w:val="32"/>
          <w:szCs w:val="32"/>
        </w:rPr>
        <w:t>6、马文化旅游</w:t>
      </w:r>
      <w:bookmarkEnd w:id="52"/>
      <w:bookmarkEnd w:id="53"/>
      <w:bookmarkEnd w:id="54"/>
      <w:bookmarkEnd w:id="55"/>
      <w:bookmarkEnd w:id="56"/>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突出发展马文化旅游是我市弘扬马文化的突出亮点，有效带动草原生态观光、休闲旅游等相关产业的迅速发展，为传承草原文化和马文化、展示草原旅游魅力、推动国际文化交流、带动农牧民增收致富、促进经济社会发展发挥了积极作用。近年来，呼伦贝尔不断加快民俗特色旅游、生态旅游，初步形成了覆盖范围广且具有自身特色的旅游品牌。2014-2018年，全年接待旅游者由1558.2万人次上升到1717.25万人次，增长了159.05万人次，增长率为10.21%。其中，国内旅游者由1481.84万人次增长到1650.57万人次，增长率为11.39%，增长势头迅猛；2014-2018年旅游业总收入由364.17上升到525.4亿元，增长了161.23亿元，增长率为44.27%。其中，国际旅游收入创汇由4.20亿美元增加到5.60亿美元，增长率为33.33%。国内旅游收入由338.96亿元增加到498.91亿元，增长率为47.19%。国内旅游收入增长速率快于国际旅游收入增长速率。旅游景区数量基本保持不变，质量在不断提升，2016年获批5A级景区一个。深度融合马文化的旅游业正在成为我市新常态下经济发展的重要引擎和新的增长点，在拉动经济增长方面发挥着日益重要的作用。</w:t>
      </w:r>
      <w:bookmarkStart w:id="57" w:name="_Toc10962"/>
      <w:bookmarkStart w:id="58" w:name="_Toc14903"/>
    </w:p>
    <w:p>
      <w:pPr>
        <w:ind w:firstLine="560"/>
        <w:jc w:val="center"/>
        <w:rPr>
          <w:rFonts w:ascii="楷体" w:hAnsi="楷体" w:eastAsia="楷体" w:cs="楷体"/>
          <w:bCs/>
          <w:sz w:val="24"/>
        </w:rPr>
      </w:pPr>
    </w:p>
    <w:p>
      <w:pPr>
        <w:ind w:firstLine="560"/>
        <w:jc w:val="center"/>
        <w:rPr>
          <w:rFonts w:ascii="楷体" w:hAnsi="楷体" w:eastAsia="楷体" w:cs="楷体"/>
          <w:bCs/>
          <w:sz w:val="24"/>
        </w:rPr>
      </w:pPr>
    </w:p>
    <w:p>
      <w:pPr>
        <w:ind w:firstLine="560"/>
        <w:jc w:val="center"/>
        <w:rPr>
          <w:rFonts w:ascii="楷体" w:hAnsi="楷体" w:eastAsia="楷体" w:cs="楷体"/>
          <w:bCs/>
          <w:sz w:val="24"/>
        </w:rPr>
      </w:pPr>
    </w:p>
    <w:p>
      <w:pPr>
        <w:ind w:firstLine="560"/>
        <w:jc w:val="center"/>
        <w:rPr>
          <w:rFonts w:ascii="楷体" w:hAnsi="楷体" w:eastAsia="楷体" w:cs="楷体"/>
          <w:bCs/>
          <w:sz w:val="24"/>
        </w:rPr>
      </w:pPr>
    </w:p>
    <w:p>
      <w:pPr>
        <w:ind w:firstLine="560"/>
        <w:jc w:val="center"/>
        <w:rPr>
          <w:rFonts w:ascii="楷体" w:hAnsi="楷体" w:eastAsia="楷体" w:cs="楷体"/>
          <w:bCs/>
          <w:sz w:val="24"/>
        </w:rPr>
      </w:pPr>
    </w:p>
    <w:p>
      <w:pPr>
        <w:ind w:firstLine="560"/>
        <w:jc w:val="center"/>
        <w:rPr>
          <w:rFonts w:ascii="楷体" w:hAnsi="楷体" w:eastAsia="楷体" w:cs="楷体"/>
          <w:bCs/>
          <w:sz w:val="24"/>
        </w:rPr>
      </w:pPr>
      <w:r>
        <w:rPr>
          <w:rFonts w:hint="eastAsia" w:ascii="楷体" w:hAnsi="楷体" w:eastAsia="楷体" w:cs="楷体"/>
          <w:bCs/>
          <w:sz w:val="24"/>
        </w:rPr>
        <w:t>表6  旅游事业基本情况</w:t>
      </w:r>
    </w:p>
    <w:tbl>
      <w:tblPr>
        <w:tblStyle w:val="15"/>
        <w:tblW w:w="0" w:type="auto"/>
        <w:tblInd w:w="0" w:type="dxa"/>
        <w:tblLayout w:type="fixed"/>
        <w:tblCellMar>
          <w:top w:w="0" w:type="dxa"/>
          <w:left w:w="0" w:type="dxa"/>
          <w:bottom w:w="0" w:type="dxa"/>
          <w:right w:w="0" w:type="dxa"/>
        </w:tblCellMar>
      </w:tblPr>
      <w:tblGrid>
        <w:gridCol w:w="1910"/>
        <w:gridCol w:w="1175"/>
        <w:gridCol w:w="1130"/>
        <w:gridCol w:w="1055"/>
        <w:gridCol w:w="1118"/>
        <w:gridCol w:w="1022"/>
        <w:gridCol w:w="1014"/>
      </w:tblGrid>
      <w:tr>
        <w:tblPrEx>
          <w:tblCellMar>
            <w:top w:w="0" w:type="dxa"/>
            <w:left w:w="0" w:type="dxa"/>
            <w:bottom w:w="0" w:type="dxa"/>
            <w:right w:w="0" w:type="dxa"/>
          </w:tblCellMar>
        </w:tblPrEx>
        <w:trPr>
          <w:trHeight w:val="600" w:hRule="atLeast"/>
        </w:trPr>
        <w:tc>
          <w:tcPr>
            <w:tcW w:w="1910" w:type="dxa"/>
            <w:tcBorders>
              <w:top w:val="single" w:color="000000" w:sz="4" w:space="0"/>
              <w:left w:val="single" w:color="000000" w:sz="4" w:space="0"/>
              <w:bottom w:val="single" w:color="000000" w:sz="4" w:space="0"/>
              <w:right w:val="single" w:color="000000" w:sz="4" w:space="0"/>
              <w:tl2br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指标        年份</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单位</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2014</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2018</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接待旅游人数</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万人</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1558.20</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1680.42</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1751.61</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1721.10</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1717.25</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其中：入境旅游者</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万人</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76.36</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56.38</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67.3</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71.56</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66.68</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国内旅游者</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万人</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1481.84</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1624.04</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1684.31</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1649.54</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1650.57</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旅游收入</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亿元</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364.17</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448.36</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527.73</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607.4</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ascii="楷体" w:hAnsi="楷体" w:eastAsia="楷体" w:cs="楷体"/>
                <w:color w:val="000000"/>
                <w:kern w:val="0"/>
                <w:sz w:val="20"/>
                <w:szCs w:val="20"/>
              </w:rPr>
              <w:t>525.4</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其中：入境旅收入</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亿美元</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4.20</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3.50</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4.51</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5.08</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5.60</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国内旅游收入</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亿元</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338.96</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425.31</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500.99</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574.13</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498.91</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旅游景区</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个</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53</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55</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50</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51</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56</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其中：AAA级景区</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个</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12</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15</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16</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AAAA级景区</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个</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17</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13</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14</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kern w:val="0"/>
                <w:sz w:val="20"/>
                <w:szCs w:val="20"/>
              </w:rPr>
            </w:pPr>
            <w:r>
              <w:rPr>
                <w:rFonts w:hint="eastAsia" w:ascii="楷体" w:hAnsi="楷体" w:eastAsia="楷体" w:cs="楷体"/>
                <w:color w:val="000000"/>
                <w:kern w:val="0"/>
                <w:sz w:val="20"/>
                <w:szCs w:val="20"/>
              </w:rPr>
              <w:t>14</w:t>
            </w:r>
          </w:p>
        </w:tc>
      </w:tr>
      <w:tr>
        <w:tblPrEx>
          <w:tblCellMar>
            <w:top w:w="0" w:type="dxa"/>
            <w:left w:w="0" w:type="dxa"/>
            <w:bottom w:w="0" w:type="dxa"/>
            <w:right w:w="0" w:type="dxa"/>
          </w:tblCellMar>
        </w:tblPrEx>
        <w:trPr>
          <w:trHeight w:val="288" w:hRule="atLeast"/>
        </w:trPr>
        <w:tc>
          <w:tcPr>
            <w:tcW w:w="191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AAAAA级景区</w:t>
            </w:r>
          </w:p>
        </w:tc>
        <w:tc>
          <w:tcPr>
            <w:tcW w:w="117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个</w:t>
            </w:r>
          </w:p>
        </w:tc>
        <w:tc>
          <w:tcPr>
            <w:tcW w:w="113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0</w:t>
            </w:r>
          </w:p>
        </w:tc>
        <w:tc>
          <w:tcPr>
            <w:tcW w:w="105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0</w:t>
            </w:r>
          </w:p>
        </w:tc>
        <w:tc>
          <w:tcPr>
            <w:tcW w:w="11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w:t>
            </w:r>
          </w:p>
        </w:tc>
        <w:tc>
          <w:tcPr>
            <w:tcW w:w="102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w:t>
            </w:r>
          </w:p>
        </w:tc>
        <w:tc>
          <w:tcPr>
            <w:tcW w:w="101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宋体"/>
                <w:color w:val="000000"/>
                <w:sz w:val="22"/>
              </w:rPr>
            </w:pPr>
            <w:r>
              <w:rPr>
                <w:rFonts w:hint="eastAsia" w:ascii="楷体" w:hAnsi="楷体" w:eastAsia="楷体"/>
                <w:color w:val="000000"/>
                <w:sz w:val="22"/>
              </w:rPr>
              <w:t>1</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资料来源：根据历年呼伦贝尔市统计年鉴加工整理。</w:t>
      </w:r>
    </w:p>
    <w:p>
      <w:pPr>
        <w:tabs>
          <w:tab w:val="left" w:pos="6051"/>
        </w:tabs>
        <w:jc w:val="left"/>
        <w:rPr>
          <w:rFonts w:ascii="楷体" w:hAnsi="楷体" w:eastAsia="楷体" w:cs="楷体"/>
          <w:color w:val="000000"/>
          <w:szCs w:val="21"/>
        </w:rPr>
      </w:pPr>
    </w:p>
    <w:p>
      <w:pPr>
        <w:ind w:firstLine="640" w:firstLineChars="200"/>
        <w:rPr>
          <w:rFonts w:hint="eastAsia" w:ascii="仿宋_GB2312" w:hAnsi="仿宋_GB2312" w:eastAsia="仿宋_GB2312" w:cs="仿宋_GB2312"/>
          <w:sz w:val="32"/>
          <w:szCs w:val="32"/>
        </w:rPr>
      </w:pPr>
      <w:bookmarkStart w:id="59" w:name="_Toc15898"/>
      <w:bookmarkStart w:id="60" w:name="_Toc15967_WPSOffice_Level3"/>
      <w:bookmarkStart w:id="61" w:name="_Toc4393"/>
      <w:r>
        <w:rPr>
          <w:rFonts w:hint="eastAsia" w:ascii="仿宋_GB2312" w:hAnsi="仿宋_GB2312" w:eastAsia="仿宋_GB2312" w:cs="仿宋_GB2312"/>
          <w:sz w:val="32"/>
          <w:szCs w:val="32"/>
        </w:rPr>
        <w:t>7、马业发展相关政策</w:t>
      </w:r>
      <w:bookmarkEnd w:id="57"/>
      <w:bookmarkEnd w:id="58"/>
      <w:bookmarkEnd w:id="59"/>
      <w:bookmarkEnd w:id="60"/>
      <w:bookmarkEnd w:id="61"/>
    </w:p>
    <w:p>
      <w:pPr>
        <w:ind w:firstLine="640"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z w:val="32"/>
          <w:szCs w:val="32"/>
        </w:rPr>
        <w:t>近年来，自治区政府和呼伦贝尔市政府高度重视马产业发展，相继出台了促进马产业发展的若干政策。2017年，内蒙古自治区人民政府发布了《关于促进现代马产业发展的若干意见》，就有关加强马品种保护和改良繁育、促进现代马产业发展、建立完善相关服务体系及提供政策支持提出相关发展意见。2018年，我市召开促进现代马产业发展领导小组工作会议，从促进现代马产业发展纳入当地经济社会发展规划，从政策、资金、项目等方面着手加大马产业扶持力度。充分发挥区位优势，同时发挥行业协会的重要作用，做大蒙古马、三河马等地方优良马种，加快呼伦贝尔现代马产业发展。</w:t>
      </w:r>
      <w:bookmarkStart w:id="62" w:name="_Toc16020_WPSOffice_Level1"/>
      <w:bookmarkStart w:id="63" w:name="_Toc8327"/>
      <w:bookmarkStart w:id="64" w:name="_Toc8103"/>
      <w:bookmarkStart w:id="65" w:name="_Toc32072_WPSOffice_Level1"/>
      <w:bookmarkStart w:id="66" w:name="_Toc22266_WPSOffice_Level1"/>
      <w:r>
        <w:rPr>
          <w:rFonts w:hint="eastAsia" w:ascii="仿宋_GB2312" w:hAnsi="仿宋_GB2312" w:eastAsia="仿宋_GB2312" w:cs="仿宋_GB2312"/>
          <w:sz w:val="32"/>
          <w:szCs w:val="32"/>
        </w:rPr>
        <w:t>2019年8月，以“世界马业格局和中国马业方略”为主题的第二届中国马文化节暨首届内蒙古国际马文化博览会在呼和浩特举办，通过学术论坛、赛事活动、展览表演等为马产业发展出谋划策，引起广泛的群众参与度，有效宣传了马产业和马文化。2019年10月，内蒙古自治区党委宣传部发布《内蒙古自治区马文化产业发展规划（2018-2022年）征求意见稿》，意在全面推动内蒙古自治区马文化产业的快速发展，为全国树立标杆。2019年12月，世界马文化论坛在内蒙古自治区举办，为各国马文化交流互鉴提供平台，也是首次向世界展示中华马文化，表现了我们为中华马</w:t>
      </w:r>
      <w:r>
        <w:rPr>
          <w:rFonts w:hint="eastAsia" w:ascii="仿宋_GB2312" w:hAnsi="仿宋_GB2312" w:eastAsia="仿宋_GB2312" w:cs="仿宋_GB2312"/>
          <w:spacing w:val="-6"/>
          <w:sz w:val="32"/>
          <w:szCs w:val="32"/>
        </w:rPr>
        <w:t>产业谋发展，为中华马文化谋复兴的信心，引起群众广泛关注。</w:t>
      </w:r>
    </w:p>
    <w:p>
      <w:pPr>
        <w:pStyle w:val="3"/>
        <w:ind w:firstLine="640" w:firstLineChars="200"/>
        <w:rPr>
          <w:rFonts w:hint="eastAsia"/>
          <w:b w:val="0"/>
          <w:bCs/>
          <w:sz w:val="32"/>
          <w:szCs w:val="32"/>
        </w:rPr>
      </w:pPr>
      <w:bookmarkStart w:id="67" w:name="_Toc17791"/>
      <w:bookmarkStart w:id="68" w:name="_Toc3108"/>
      <w:bookmarkStart w:id="69" w:name="_Toc17866_WPSOffice_Level2"/>
      <w:bookmarkStart w:id="70" w:name="_Toc21359"/>
      <w:bookmarkStart w:id="71" w:name="_Toc9962"/>
      <w:bookmarkStart w:id="72" w:name="_Toc4016"/>
      <w:bookmarkStart w:id="73" w:name="_Toc4227"/>
      <w:bookmarkStart w:id="74" w:name="_Toc19185"/>
      <w:bookmarkStart w:id="75" w:name="_Toc25624"/>
      <w:r>
        <w:rPr>
          <w:rFonts w:hint="eastAsia"/>
          <w:b w:val="0"/>
          <w:bCs/>
          <w:sz w:val="32"/>
          <w:szCs w:val="32"/>
        </w:rPr>
        <w:t>（二）呼伦贝尔市马业发展存在的问题</w:t>
      </w:r>
      <w:bookmarkEnd w:id="62"/>
      <w:bookmarkEnd w:id="63"/>
      <w:bookmarkEnd w:id="64"/>
      <w:bookmarkEnd w:id="65"/>
      <w:bookmarkEnd w:id="66"/>
      <w:bookmarkEnd w:id="67"/>
      <w:bookmarkEnd w:id="68"/>
      <w:bookmarkEnd w:id="69"/>
      <w:bookmarkEnd w:id="70"/>
      <w:bookmarkEnd w:id="71"/>
      <w:bookmarkEnd w:id="72"/>
      <w:bookmarkEnd w:id="73"/>
      <w:bookmarkEnd w:id="74"/>
      <w:bookmarkEnd w:id="75"/>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尽管近年来我市马产业得到了长足发展，但仍面临不少困难和问题，主要有：</w:t>
      </w:r>
    </w:p>
    <w:p>
      <w:pPr>
        <w:ind w:firstLine="640" w:firstLineChars="200"/>
        <w:rPr>
          <w:rFonts w:hint="eastAsia" w:ascii="仿宋_GB2312" w:hAnsi="仿宋_GB2312" w:eastAsia="仿宋_GB2312" w:cs="仿宋_GB2312"/>
          <w:sz w:val="32"/>
          <w:szCs w:val="32"/>
        </w:rPr>
      </w:pPr>
      <w:bookmarkStart w:id="76" w:name="_Toc734_WPSOffice_Level2"/>
      <w:bookmarkStart w:id="77" w:name="_Toc8356"/>
      <w:bookmarkStart w:id="78" w:name="_Toc1728"/>
      <w:bookmarkStart w:id="79" w:name="_Toc5799"/>
      <w:bookmarkStart w:id="80" w:name="_Toc28396"/>
      <w:bookmarkStart w:id="81" w:name="_Toc27420_WPSOffice_Level2"/>
      <w:bookmarkStart w:id="82" w:name="_Toc20738_WPSOffice_Level3"/>
      <w:bookmarkStart w:id="83" w:name="_Toc19975_WPSOffice_Level2"/>
      <w:r>
        <w:rPr>
          <w:rFonts w:hint="eastAsia" w:ascii="仿宋_GB2312" w:hAnsi="仿宋_GB2312" w:eastAsia="仿宋_GB2312" w:cs="仿宋_GB2312"/>
          <w:sz w:val="32"/>
          <w:szCs w:val="32"/>
        </w:rPr>
        <w:t>1、饲养管理粗放，发展基础薄弱</w:t>
      </w:r>
      <w:bookmarkEnd w:id="76"/>
      <w:bookmarkEnd w:id="77"/>
      <w:bookmarkEnd w:id="78"/>
      <w:bookmarkEnd w:id="79"/>
      <w:bookmarkEnd w:id="80"/>
      <w:bookmarkEnd w:id="81"/>
      <w:bookmarkEnd w:id="82"/>
      <w:bookmarkEnd w:id="83"/>
      <w:r>
        <w:rPr>
          <w:rFonts w:hint="eastAsia" w:ascii="仿宋_GB2312" w:hAnsi="仿宋_GB2312" w:eastAsia="仿宋_GB2312" w:cs="仿宋_GB2312"/>
          <w:sz w:val="32"/>
          <w:szCs w:val="32"/>
        </w:rPr>
        <w:t>。现阶段，牧民养马方式还是以草原放牧为主，基础设施简陋，附属设施不齐全，饲养管理机制不系统、科学。大多数牧户未根据马的种类、品种、个体特性及当地的环境条件制订科学的饲养管理制度。在马的改良体系中呈现出良种场规模小，种群退化，良种马和能繁母马比重失衡，繁殖成活率低等。</w:t>
      </w:r>
    </w:p>
    <w:p>
      <w:pPr>
        <w:wordWrap w:val="0"/>
        <w:topLinePunct/>
        <w:ind w:right="-218" w:rightChars="-104" w:firstLine="640" w:firstLineChars="200"/>
        <w:rPr>
          <w:rFonts w:hint="eastAsia" w:ascii="仿宋_GB2312" w:hAnsi="仿宋_GB2312" w:eastAsia="仿宋_GB2312" w:cs="仿宋_GB2312"/>
          <w:kern w:val="0"/>
          <w:sz w:val="32"/>
          <w:szCs w:val="32"/>
        </w:rPr>
      </w:pPr>
      <w:bookmarkStart w:id="84" w:name="_Toc21029"/>
      <w:bookmarkStart w:id="85" w:name="_Toc24993_WPSOffice_Level2"/>
      <w:bookmarkStart w:id="86" w:name="_Toc24272_WPSOffice_Level2"/>
      <w:bookmarkStart w:id="87" w:name="_Toc10547_WPSOffice_Level3"/>
      <w:bookmarkStart w:id="88" w:name="_Toc14891"/>
      <w:bookmarkStart w:id="89" w:name="_Toc3695"/>
      <w:bookmarkStart w:id="90" w:name="_Toc18528"/>
      <w:bookmarkStart w:id="91" w:name="_Toc2935_WPSOffice_Level2"/>
      <w:r>
        <w:rPr>
          <w:rFonts w:hint="eastAsia" w:ascii="仿宋_GB2312" w:hAnsi="仿宋_GB2312" w:eastAsia="仿宋_GB2312" w:cs="仿宋_GB2312"/>
          <w:sz w:val="32"/>
          <w:szCs w:val="32"/>
        </w:rPr>
        <w:t>2、</w:t>
      </w:r>
      <w:bookmarkEnd w:id="84"/>
      <w:bookmarkEnd w:id="85"/>
      <w:bookmarkEnd w:id="86"/>
      <w:bookmarkEnd w:id="87"/>
      <w:bookmarkEnd w:id="88"/>
      <w:bookmarkEnd w:id="89"/>
      <w:bookmarkEnd w:id="90"/>
      <w:bookmarkEnd w:id="91"/>
      <w:bookmarkStart w:id="92" w:name="_Toc5190_WPSOffice_Level3"/>
      <w:bookmarkStart w:id="93" w:name="_Toc6323_WPSOffice_Level2"/>
      <w:bookmarkStart w:id="94" w:name="_Toc25481"/>
      <w:bookmarkStart w:id="95" w:name="_Toc6484_WPSOffice_Level2"/>
      <w:bookmarkStart w:id="96" w:name="_Toc4167"/>
      <w:bookmarkStart w:id="97" w:name="_Toc24251_WPSOffice_Level2"/>
      <w:bookmarkStart w:id="98" w:name="_Toc6971"/>
      <w:bookmarkStart w:id="99" w:name="_Toc27185"/>
      <w:r>
        <w:rPr>
          <w:rFonts w:hint="eastAsia" w:ascii="仿宋_GB2312" w:hAnsi="仿宋_GB2312" w:eastAsia="仿宋_GB2312" w:cs="仿宋_GB2312"/>
          <w:sz w:val="32"/>
          <w:szCs w:val="32"/>
        </w:rPr>
        <w:t>产品开发不足</w:t>
      </w:r>
      <w:bookmarkEnd w:id="92"/>
      <w:bookmarkEnd w:id="93"/>
      <w:bookmarkEnd w:id="94"/>
      <w:bookmarkEnd w:id="95"/>
      <w:bookmarkEnd w:id="96"/>
      <w:bookmarkEnd w:id="97"/>
      <w:bookmarkEnd w:id="98"/>
      <w:bookmarkEnd w:id="99"/>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rPr>
        <w:t>目前，由于绝大部分酸马乳、马奶酒均为牧民家庭按传统方式自行酿制，设备简陋，工艺落后，菌种组成有别，没有统一的产品标准，质量参差不齐，加之未经有效的质量检验，存在安全隐患，市场和销量难以提升。马肉</w:t>
      </w:r>
      <w:r>
        <w:rPr>
          <w:rFonts w:hint="eastAsia" w:ascii="仿宋_GB2312" w:hAnsi="仿宋_GB2312" w:eastAsia="仿宋_GB2312" w:cs="仿宋_GB2312"/>
          <w:spacing w:val="-6"/>
          <w:kern w:val="0"/>
          <w:sz w:val="32"/>
          <w:szCs w:val="32"/>
        </w:rPr>
        <w:t>相关产品的加工制造、新型马产品的开发利用，仍处于初级阶段。</w:t>
      </w:r>
    </w:p>
    <w:p>
      <w:pPr>
        <w:ind w:firstLine="640" w:firstLineChars="200"/>
        <w:rPr>
          <w:rFonts w:hint="eastAsia" w:ascii="仿宋_GB2312" w:hAnsi="仿宋_GB2312" w:eastAsia="仿宋_GB2312" w:cs="仿宋_GB2312"/>
          <w:sz w:val="32"/>
          <w:szCs w:val="32"/>
        </w:rPr>
      </w:pPr>
      <w:bookmarkStart w:id="100" w:name="_Toc7121"/>
      <w:bookmarkStart w:id="101" w:name="_Toc19526_WPSOffice_Level3"/>
      <w:bookmarkStart w:id="102" w:name="_Toc19285"/>
      <w:bookmarkStart w:id="103" w:name="_Toc31593"/>
      <w:bookmarkStart w:id="104" w:name="_Toc5911_WPSOffice_Level2"/>
      <w:bookmarkStart w:id="105" w:name="_Toc16608_WPSOffice_Level2"/>
      <w:bookmarkStart w:id="106" w:name="_Toc28314_WPSOffice_Level2"/>
      <w:bookmarkStart w:id="107" w:name="_Toc16719"/>
      <w:r>
        <w:rPr>
          <w:rFonts w:hint="eastAsia" w:ascii="仿宋_GB2312" w:hAnsi="仿宋_GB2312" w:eastAsia="仿宋_GB2312" w:cs="仿宋_GB2312"/>
          <w:sz w:val="32"/>
          <w:szCs w:val="32"/>
        </w:rPr>
        <w:t>3、一二三产分割，产业化发展滞后</w:t>
      </w:r>
      <w:bookmarkEnd w:id="100"/>
      <w:bookmarkEnd w:id="101"/>
      <w:bookmarkEnd w:id="102"/>
      <w:bookmarkEnd w:id="103"/>
      <w:bookmarkEnd w:id="104"/>
      <w:bookmarkEnd w:id="105"/>
      <w:bookmarkEnd w:id="106"/>
      <w:bookmarkEnd w:id="107"/>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rPr>
        <w:t>资源优势和产业潜力未得到充分发挥，缺乏有较大影响力和带动力的龙头企业，未形成全产业链，目前，我市的马产业仅仅局限在养殖和马匹交易环节，马产品以马肉、马奶为主，马产业增收渠道单一，市场化程度低，没有形成多元化发展的格局。</w:t>
      </w:r>
    </w:p>
    <w:p>
      <w:pPr>
        <w:ind w:firstLine="640" w:firstLineChars="200"/>
        <w:rPr>
          <w:rFonts w:hint="eastAsia" w:ascii="仿宋_GB2312" w:hAnsi="仿宋_GB2312" w:eastAsia="仿宋_GB2312" w:cs="仿宋_GB2312"/>
          <w:color w:val="FF0000"/>
          <w:kern w:val="0"/>
          <w:sz w:val="32"/>
          <w:szCs w:val="32"/>
        </w:rPr>
      </w:pPr>
      <w:bookmarkStart w:id="108" w:name="_Toc32188_WPSOffice_Level2"/>
      <w:bookmarkStart w:id="109" w:name="_Toc22869_WPSOffice_Level2"/>
      <w:bookmarkStart w:id="110" w:name="_Toc7311"/>
      <w:bookmarkStart w:id="111" w:name="_Toc26164"/>
      <w:bookmarkStart w:id="112" w:name="_Toc8298"/>
      <w:bookmarkStart w:id="113" w:name="_Toc25918_WPSOffice_Level2"/>
      <w:bookmarkStart w:id="114" w:name="_Toc1351"/>
      <w:bookmarkStart w:id="115" w:name="_Toc23341_WPSOffice_Level3"/>
      <w:r>
        <w:rPr>
          <w:rFonts w:hint="eastAsia" w:ascii="仿宋_GB2312" w:hAnsi="仿宋_GB2312" w:eastAsia="仿宋_GB2312" w:cs="仿宋_GB2312"/>
          <w:sz w:val="32"/>
          <w:szCs w:val="32"/>
        </w:rPr>
        <w:t>4、缺乏人才</w:t>
      </w:r>
      <w:bookmarkEnd w:id="108"/>
      <w:bookmarkEnd w:id="109"/>
      <w:bookmarkEnd w:id="110"/>
      <w:bookmarkEnd w:id="111"/>
      <w:bookmarkEnd w:id="112"/>
      <w:bookmarkEnd w:id="113"/>
      <w:bookmarkEnd w:id="114"/>
      <w:bookmarkEnd w:id="115"/>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rPr>
        <w:t>我市各级畜牧业技术人员多数是以牛、羊和生猪等提供技术服务为主，针对马匹的专业技术人员较</w:t>
      </w:r>
      <w:r>
        <w:rPr>
          <w:rFonts w:hint="eastAsia" w:ascii="仿宋_GB2312" w:hAnsi="仿宋_GB2312" w:eastAsia="仿宋_GB2312" w:cs="仿宋_GB2312"/>
          <w:spacing w:val="-6"/>
          <w:kern w:val="0"/>
          <w:sz w:val="32"/>
          <w:szCs w:val="32"/>
        </w:rPr>
        <w:t>少，业务不精，成为</w:t>
      </w:r>
      <w:r>
        <w:rPr>
          <w:rFonts w:hint="eastAsia" w:ascii="仿宋_GB2312" w:hAnsi="仿宋_GB2312" w:eastAsia="仿宋_GB2312" w:cs="仿宋_GB2312"/>
          <w:color w:val="000000"/>
          <w:spacing w:val="-6"/>
          <w:kern w:val="0"/>
          <w:sz w:val="32"/>
          <w:szCs w:val="32"/>
        </w:rPr>
        <w:t>制约我市现代马产业快速健康发展的瓶颈</w:t>
      </w:r>
      <w:bookmarkStart w:id="116" w:name="_Toc14642_WPSOffice_Level2"/>
      <w:bookmarkStart w:id="117" w:name="_Toc13271_WPSOffice_Level2"/>
      <w:bookmarkStart w:id="118" w:name="_Toc13104_WPSOffice_Level2"/>
      <w:bookmarkStart w:id="119" w:name="_Toc28808"/>
      <w:bookmarkStart w:id="120" w:name="_Toc4357"/>
      <w:r>
        <w:rPr>
          <w:rFonts w:hint="eastAsia" w:ascii="仿宋_GB2312" w:hAnsi="仿宋_GB2312" w:eastAsia="仿宋_GB2312" w:cs="仿宋_GB2312"/>
          <w:color w:val="000000"/>
          <w:spacing w:val="-6"/>
          <w:kern w:val="0"/>
          <w:sz w:val="32"/>
          <w:szCs w:val="32"/>
        </w:rPr>
        <w:t>。</w:t>
      </w:r>
    </w:p>
    <w:p>
      <w:pPr>
        <w:ind w:firstLine="640" w:firstLineChars="200"/>
        <w:rPr>
          <w:rFonts w:hint="eastAsia" w:ascii="仿宋_GB2312" w:hAnsi="仿宋_GB2312" w:eastAsia="仿宋_GB2312" w:cs="仿宋_GB2312"/>
          <w:sz w:val="32"/>
          <w:szCs w:val="32"/>
        </w:rPr>
      </w:pPr>
      <w:bookmarkStart w:id="121" w:name="_Toc20847_WPSOffice_Level3"/>
      <w:bookmarkStart w:id="122" w:name="_Toc17422"/>
      <w:bookmarkStart w:id="123" w:name="_Toc628"/>
      <w:r>
        <w:rPr>
          <w:rFonts w:hint="eastAsia" w:ascii="仿宋_GB2312" w:hAnsi="仿宋_GB2312" w:eastAsia="仿宋_GB2312" w:cs="仿宋_GB2312"/>
          <w:sz w:val="32"/>
          <w:szCs w:val="32"/>
        </w:rPr>
        <w:t>5、</w:t>
      </w:r>
      <w:bookmarkEnd w:id="116"/>
      <w:bookmarkEnd w:id="117"/>
      <w:bookmarkEnd w:id="118"/>
      <w:bookmarkEnd w:id="119"/>
      <w:bookmarkEnd w:id="120"/>
      <w:bookmarkEnd w:id="121"/>
      <w:bookmarkEnd w:id="122"/>
      <w:bookmarkEnd w:id="123"/>
      <w:bookmarkStart w:id="124" w:name="_Toc3232"/>
      <w:bookmarkStart w:id="125" w:name="_Toc20864"/>
      <w:bookmarkStart w:id="126" w:name="_Toc22218_WPSOffice_Level3"/>
      <w:r>
        <w:rPr>
          <w:rFonts w:hint="eastAsia" w:ascii="仿宋_GB2312" w:hAnsi="仿宋_GB2312" w:eastAsia="仿宋_GB2312" w:cs="仿宋_GB2312"/>
          <w:sz w:val="32"/>
          <w:szCs w:val="32"/>
        </w:rPr>
        <w:t>销售方式单一</w:t>
      </w:r>
      <w:bookmarkEnd w:id="124"/>
      <w:bookmarkEnd w:id="125"/>
      <w:bookmarkEnd w:id="126"/>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rPr>
        <w:t xml:space="preserve">至今，我市马产业链上的每个市场主体直接面对市场，销售自己的马产品、马匹和提供骑乘服务。市场议价能力低，缺乏话语权。没有搭建起订单、直销等现代营销方式及所需要的交易平台。始终没有很好地解决小生产和大市场之间的长期矛盾。市场风险始终没有得到有效防范，导致马产业不能成为农牧民增收的主要来源，马产业合作社、加工企业的经济效益不高。                                             </w:t>
      </w:r>
      <w:bookmarkStart w:id="127" w:name="_Toc16755"/>
      <w:bookmarkStart w:id="128" w:name="_Toc6841_WPSOffice_Level2"/>
      <w:bookmarkStart w:id="129" w:name="_Toc8741_WPSOffice_Level2"/>
      <w:bookmarkStart w:id="130" w:name="_Toc21765_WPSOffice_Level2"/>
      <w:bookmarkStart w:id="131" w:name="_Toc1062"/>
      <w:bookmarkStart w:id="132" w:name="_Toc24567"/>
    </w:p>
    <w:p>
      <w:pPr>
        <w:pStyle w:val="3"/>
        <w:ind w:firstLine="640" w:firstLineChars="200"/>
        <w:rPr>
          <w:rFonts w:hint="eastAsia"/>
          <w:b w:val="0"/>
          <w:bCs/>
          <w:sz w:val="32"/>
          <w:szCs w:val="32"/>
        </w:rPr>
      </w:pPr>
      <w:bookmarkStart w:id="133" w:name="_Toc30738"/>
      <w:bookmarkStart w:id="134" w:name="_Toc22347"/>
      <w:bookmarkStart w:id="135" w:name="_Toc14710"/>
      <w:bookmarkStart w:id="136" w:name="_Toc12275"/>
      <w:bookmarkStart w:id="137" w:name="_Toc1259"/>
      <w:bookmarkStart w:id="138" w:name="_Toc16321_WPSOffice_Level2"/>
      <w:bookmarkStart w:id="139" w:name="_Toc28054"/>
      <w:bookmarkStart w:id="140" w:name="_Toc8737"/>
      <w:r>
        <w:rPr>
          <w:rFonts w:hint="eastAsia"/>
          <w:b w:val="0"/>
          <w:bCs/>
          <w:sz w:val="32"/>
          <w:szCs w:val="32"/>
        </w:rPr>
        <w:t>（三）呼伦贝尔市发展马产业的必要性</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ind w:firstLine="640" w:firstLineChars="200"/>
        <w:rPr>
          <w:rFonts w:hint="eastAsia" w:ascii="仿宋_GB2312" w:hAnsi="仿宋_GB2312" w:eastAsia="仿宋_GB2312" w:cs="仿宋_GB2312"/>
          <w:sz w:val="32"/>
          <w:szCs w:val="32"/>
        </w:rPr>
      </w:pPr>
      <w:bookmarkStart w:id="141" w:name="_Toc31553"/>
      <w:bookmarkStart w:id="142" w:name="_Toc16012"/>
      <w:bookmarkStart w:id="143" w:name="_Toc9761"/>
      <w:bookmarkStart w:id="144" w:name="_Toc21225"/>
      <w:bookmarkStart w:id="145" w:name="_Toc25792_WPSOffice_Level3"/>
      <w:r>
        <w:rPr>
          <w:rFonts w:hint="eastAsia" w:ascii="仿宋_GB2312" w:hAnsi="仿宋_GB2312" w:eastAsia="仿宋_GB2312" w:cs="仿宋_GB2312"/>
          <w:sz w:val="32"/>
          <w:szCs w:val="32"/>
        </w:rPr>
        <w:t>1、具备发展马产业的资源优势</w:t>
      </w:r>
      <w:bookmarkEnd w:id="141"/>
      <w:bookmarkEnd w:id="142"/>
      <w:bookmarkEnd w:id="143"/>
      <w:bookmarkEnd w:id="144"/>
      <w:bookmarkEnd w:id="145"/>
      <w:r>
        <w:rPr>
          <w:rFonts w:hint="eastAsia" w:ascii="仿宋_GB2312" w:hAnsi="仿宋_GB2312" w:eastAsia="仿宋_GB2312" w:cs="仿宋_GB2312"/>
          <w:sz w:val="32"/>
          <w:szCs w:val="32"/>
        </w:rPr>
        <w:t>。我市充足的水草等自然资源适于发展马产业。我市地域辽阔，是我国主要的草原牧区之一。</w:t>
      </w:r>
      <w:r>
        <w:rPr>
          <w:rFonts w:hint="eastAsia" w:ascii="仿宋_GB2312" w:hAnsi="仿宋_GB2312" w:eastAsia="仿宋_GB2312" w:cs="仿宋_GB2312"/>
          <w:color w:val="000000"/>
          <w:sz w:val="32"/>
          <w:szCs w:val="32"/>
        </w:rPr>
        <w:t>全市草原总面积基本维持在993.3万公顷，其中可利用面积维持在920万公顷，人工种草保有面积每年平均5.77万公顷，草原综合植被覆盖度稳定在70%以上。草场分布范围广、面积大，主要分布在新巴尔虎右旗、新巴尔虎左旗、陈巴尔虎旗、鄂温克旗，四旗的草原总面积合计693.27万公顷，占全市草原总面积的70%。2018年，草畜平衡578.07万公顷、禁牧112.47万公顷、退牧还草8.14万公顷。天然草场暖季牧草产量（折合干草）198.4亿公斤，平均亩产干草132.5公斤；冷季产草量103.6亿公斤，平均亩产69.2公斤。</w:t>
      </w:r>
      <w:r>
        <w:rPr>
          <w:rFonts w:hint="eastAsia" w:ascii="仿宋_GB2312" w:hAnsi="仿宋_GB2312" w:eastAsia="仿宋_GB2312" w:cs="仿宋_GB2312"/>
          <w:sz w:val="32"/>
          <w:szCs w:val="32"/>
        </w:rPr>
        <w:t>草场类型多样，由东向西呈规律性分布，地跨森林草原、草甸草原和干旱草原三个地带，是发展畜牧业生产的天然草地。</w:t>
      </w:r>
    </w:p>
    <w:p>
      <w:pPr>
        <w:ind w:firstLine="640" w:firstLineChars="200"/>
        <w:jc w:val="center"/>
        <w:rPr>
          <w:rFonts w:ascii="楷体" w:hAnsi="楷体" w:eastAsia="楷体" w:cs="楷体"/>
          <w:bCs/>
          <w:sz w:val="32"/>
          <w:szCs w:val="32"/>
        </w:rPr>
      </w:pPr>
      <w:r>
        <w:rPr>
          <w:rFonts w:hint="eastAsia" w:ascii="楷体" w:hAnsi="楷体" w:eastAsia="楷体" w:cs="楷体"/>
          <w:bCs/>
          <w:sz w:val="32"/>
          <w:szCs w:val="32"/>
        </w:rPr>
        <w:t>表7  草原建设及利用情况</w:t>
      </w:r>
    </w:p>
    <w:p>
      <w:pPr>
        <w:ind w:firstLine="480" w:firstLineChars="200"/>
        <w:jc w:val="right"/>
        <w:rPr>
          <w:rFonts w:ascii="楷体" w:hAnsi="楷体" w:eastAsia="楷体" w:cs="楷体"/>
          <w:bCs/>
          <w:sz w:val="24"/>
        </w:rPr>
      </w:pPr>
      <w:r>
        <w:rPr>
          <w:rFonts w:hint="eastAsia" w:ascii="楷体" w:hAnsi="楷体" w:eastAsia="楷体" w:cs="楷体"/>
          <w:bCs/>
          <w:sz w:val="24"/>
        </w:rPr>
        <w:t>单位：万公顷</w:t>
      </w:r>
    </w:p>
    <w:tbl>
      <w:tblPr>
        <w:tblStyle w:val="15"/>
        <w:tblW w:w="0" w:type="auto"/>
        <w:tblInd w:w="0" w:type="dxa"/>
        <w:tblLayout w:type="fixed"/>
        <w:tblCellMar>
          <w:top w:w="0" w:type="dxa"/>
          <w:left w:w="0" w:type="dxa"/>
          <w:bottom w:w="0" w:type="dxa"/>
          <w:right w:w="0" w:type="dxa"/>
        </w:tblCellMar>
      </w:tblPr>
      <w:tblGrid>
        <w:gridCol w:w="3229"/>
        <w:gridCol w:w="1328"/>
        <w:gridCol w:w="1327"/>
        <w:gridCol w:w="1328"/>
        <w:gridCol w:w="1328"/>
      </w:tblGrid>
      <w:tr>
        <w:trPr>
          <w:trHeight w:val="626"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指标         年份</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2015</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2016</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2017</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2018</w:t>
            </w:r>
          </w:p>
        </w:tc>
      </w:tr>
      <w:tr>
        <w:trPr>
          <w:trHeight w:val="312"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草原面积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993.33</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993.33</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993.33</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993</w:t>
            </w:r>
          </w:p>
        </w:tc>
      </w:tr>
      <w:tr>
        <w:trPr>
          <w:trHeight w:val="312"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其中：承包到户面积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693.33</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693.33</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693.33</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693.33</w:t>
            </w:r>
          </w:p>
        </w:tc>
      </w:tr>
      <w:tr>
        <w:trPr>
          <w:trHeight w:val="312"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可利用草原面积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920</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920</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920</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920</w:t>
            </w:r>
          </w:p>
        </w:tc>
      </w:tr>
      <w:tr>
        <w:trPr>
          <w:trHeight w:val="312"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人工种草保有面积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10.8</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5</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2.26</w:t>
            </w:r>
          </w:p>
        </w:tc>
      </w:tr>
      <w:tr>
        <w:trPr>
          <w:trHeight w:val="312"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其中：当年种草面积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3</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1</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r>
        <w:trPr>
          <w:trHeight w:val="330" w:hRule="atLeast"/>
        </w:trPr>
        <w:tc>
          <w:tcPr>
            <w:tcW w:w="32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当年飞播面积</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6.6</w:t>
            </w:r>
          </w:p>
        </w:tc>
        <w:tc>
          <w:tcPr>
            <w:tcW w:w="132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4.6</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楷体" w:hAnsi="楷体" w:eastAsia="楷体" w:cs="楷体"/>
                <w:color w:val="000000"/>
                <w:sz w:val="20"/>
                <w:szCs w:val="20"/>
              </w:rPr>
            </w:pPr>
            <w:r>
              <w:rPr>
                <w:rFonts w:hint="eastAsia" w:ascii="楷体" w:hAnsi="楷体" w:eastAsia="楷体" w:cs="楷体"/>
                <w:color w:val="000000"/>
                <w:kern w:val="0"/>
                <w:sz w:val="20"/>
                <w:szCs w:val="20"/>
              </w:rPr>
              <w:t>2</w:t>
            </w:r>
          </w:p>
        </w:tc>
        <w:tc>
          <w:tcPr>
            <w:tcW w:w="13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rFonts w:ascii="楷体" w:hAnsi="楷体" w:eastAsia="楷体" w:cs="楷体"/>
                <w:color w:val="000000"/>
                <w:sz w:val="20"/>
                <w:szCs w:val="20"/>
              </w:rPr>
            </w:pPr>
            <w:r>
              <w:rPr>
                <w:rFonts w:hint="eastAsia" w:ascii="楷体" w:hAnsi="楷体" w:eastAsia="楷体" w:cs="楷体"/>
                <w:color w:val="000000"/>
                <w:sz w:val="20"/>
                <w:szCs w:val="20"/>
              </w:rPr>
              <w:t>-</w:t>
            </w:r>
          </w:p>
        </w:tc>
      </w:tr>
    </w:tbl>
    <w:p>
      <w:pPr>
        <w:tabs>
          <w:tab w:val="left" w:pos="6051"/>
        </w:tabs>
        <w:jc w:val="left"/>
        <w:rPr>
          <w:rFonts w:ascii="楷体" w:hAnsi="楷体" w:eastAsia="楷体" w:cs="楷体"/>
          <w:color w:val="000000"/>
          <w:szCs w:val="21"/>
        </w:rPr>
      </w:pPr>
      <w:r>
        <w:rPr>
          <w:rFonts w:hint="eastAsia" w:ascii="楷体" w:hAnsi="楷体" w:eastAsia="楷体" w:cs="楷体"/>
          <w:color w:val="000000"/>
          <w:szCs w:val="21"/>
        </w:rPr>
        <w:t>资料来源：根据历年呼伦贝尔市统计年鉴加工整理。</w:t>
      </w:r>
    </w:p>
    <w:p>
      <w:pPr>
        <w:tabs>
          <w:tab w:val="left" w:pos="6051"/>
        </w:tabs>
        <w:jc w:val="left"/>
        <w:rPr>
          <w:rFonts w:ascii="楷体" w:hAnsi="楷体" w:eastAsia="楷体" w:cs="楷体"/>
          <w:color w:val="000000"/>
          <w:szCs w:val="21"/>
        </w:rPr>
      </w:pPr>
    </w:p>
    <w:p>
      <w:pPr>
        <w:ind w:firstLine="640" w:firstLineChars="200"/>
        <w:rPr>
          <w:rFonts w:hint="eastAsia" w:ascii="仿宋_GB2312" w:hAnsi="仿宋_GB2312" w:eastAsia="仿宋_GB2312" w:cs="仿宋_GB2312"/>
          <w:bCs/>
          <w:color w:val="FF0000"/>
          <w:sz w:val="32"/>
          <w:szCs w:val="32"/>
        </w:rPr>
      </w:pPr>
      <w:r>
        <w:rPr>
          <w:rFonts w:hint="eastAsia" w:ascii="仿宋_GB2312" w:hAnsi="仿宋_GB2312" w:eastAsia="仿宋_GB2312" w:cs="仿宋_GB2312"/>
          <w:sz w:val="32"/>
          <w:szCs w:val="32"/>
        </w:rPr>
        <w:t>我市水资源丰富。截止到2016年，水域面积48.32万公顷，拥有200万公顷湿地、呼伦湖、贝尔湖等500多个湖泊；额尔古纳河、嫩江、海拉尔河、雅鲁河等3000多条河流；总量达到316.19亿立方米，占自治区的56.4%。其中，地表水总量298.19亿立方米，地下水总量18亿立方米。</w:t>
      </w:r>
    </w:p>
    <w:p>
      <w:pPr>
        <w:ind w:firstLine="640" w:firstLineChars="200"/>
        <w:rPr>
          <w:rFonts w:hint="eastAsia" w:ascii="仿宋_GB2312" w:hAnsi="仿宋_GB2312" w:eastAsia="仿宋_GB2312" w:cs="仿宋_GB2312"/>
          <w:sz w:val="32"/>
          <w:szCs w:val="32"/>
        </w:rPr>
      </w:pPr>
      <w:bookmarkStart w:id="146" w:name="_Toc31153"/>
      <w:bookmarkStart w:id="147" w:name="_Toc11876"/>
      <w:bookmarkStart w:id="148" w:name="_Toc26039"/>
      <w:bookmarkStart w:id="149" w:name="_Toc3155"/>
      <w:bookmarkStart w:id="150" w:name="_Toc7544_WPSOffice_Level3"/>
      <w:r>
        <w:rPr>
          <w:rFonts w:hint="eastAsia" w:ascii="仿宋_GB2312" w:hAnsi="仿宋_GB2312" w:eastAsia="仿宋_GB2312" w:cs="仿宋_GB2312"/>
          <w:sz w:val="32"/>
          <w:szCs w:val="32"/>
        </w:rPr>
        <w:t>2、马品种资源丰富。拥有优良的蒙古马、三河马种质，是我国乃至世界原始地方马品种资源最丰富的地区之一；马品种且均为兼用型，适合作为杂交改良或培育乳用、肉用及运动型马种的素材，选育培养运动型马种要重点突出蒙古马、三河马持久力好，适合长距离赛事的优势；鄂伦春马乘驮兼用、适应自然条件极强、登山能力极强等特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3、具备发展马产业深厚的文化底蕴</w:t>
      </w:r>
      <w:bookmarkEnd w:id="146"/>
      <w:bookmarkEnd w:id="147"/>
      <w:bookmarkEnd w:id="148"/>
      <w:bookmarkEnd w:id="149"/>
      <w:bookmarkEnd w:id="150"/>
      <w:r>
        <w:rPr>
          <w:rFonts w:hint="eastAsia" w:ascii="仿宋_GB2312" w:hAnsi="仿宋_GB2312" w:eastAsia="仿宋_GB2312" w:cs="仿宋_GB2312"/>
          <w:sz w:val="32"/>
          <w:szCs w:val="32"/>
        </w:rPr>
        <w:t>。我市草原文化、民俗文化丰厚的积淀，为现代马文化传承和发展奠定基础。三河马历史悠长久远，在呼伦贝尔已有一百多年的发展历史。另外，国际化的蒙古族文化传播，以我市优势资源获得外部认同的独特地域特征，和谐文明的社会环境，与周边文化、现代文明高度切合的发展基础，能够支撑我市现代马业更具获得市场认同的优势。</w:t>
      </w:r>
    </w:p>
    <w:p>
      <w:pPr>
        <w:ind w:firstLine="640" w:firstLineChars="200"/>
        <w:rPr>
          <w:rFonts w:hint="eastAsia" w:ascii="仿宋_GB2312" w:hAnsi="仿宋_GB2312" w:eastAsia="仿宋_GB2312" w:cs="仿宋_GB2312"/>
          <w:sz w:val="32"/>
          <w:szCs w:val="32"/>
        </w:rPr>
      </w:pPr>
      <w:bookmarkStart w:id="151" w:name="_Toc27617"/>
      <w:bookmarkStart w:id="152" w:name="_Toc15346"/>
      <w:bookmarkStart w:id="153" w:name="_Toc13987"/>
      <w:bookmarkStart w:id="154" w:name="_Toc21876_WPSOffice_Level3"/>
      <w:bookmarkStart w:id="155" w:name="_Toc21214"/>
      <w:r>
        <w:rPr>
          <w:rFonts w:hint="eastAsia" w:ascii="仿宋_GB2312" w:hAnsi="仿宋_GB2312" w:eastAsia="仿宋_GB2312" w:cs="仿宋_GB2312"/>
          <w:sz w:val="32"/>
          <w:szCs w:val="32"/>
        </w:rPr>
        <w:t>4、拥有打造大型赛事活动的基础</w:t>
      </w:r>
      <w:bookmarkEnd w:id="151"/>
      <w:bookmarkEnd w:id="152"/>
      <w:bookmarkEnd w:id="153"/>
      <w:bookmarkEnd w:id="154"/>
      <w:bookmarkEnd w:id="155"/>
      <w:r>
        <w:rPr>
          <w:rFonts w:hint="eastAsia" w:ascii="仿宋_GB2312" w:hAnsi="仿宋_GB2312" w:eastAsia="仿宋_GB2312" w:cs="仿宋_GB2312"/>
          <w:sz w:val="32"/>
          <w:szCs w:val="32"/>
        </w:rPr>
        <w:t>。“那达慕”是蒙古族历史悠久的传统活动，而赛马、套马等马术项目作为那达慕的主要赛事在各地常年举办，每个旗市区基本都拥有举办那达慕的赛马场地，群众性马文化、马娱乐活动基础雄厚。我市拥有规模较大的赛马场地，主要赛马场及俱乐部有鄂温克旗内蒙古民族体育运动中心、阿日抗盖骑马场、德拉姆马术俱乐部、嘎拉布尔跑马场等，完善的硬件设施具备承办大型赛事的能力。在此基础上，</w:t>
      </w:r>
      <w:r>
        <w:rPr>
          <w:rFonts w:hint="eastAsia" w:ascii="仿宋_GB2312" w:hAnsi="仿宋_GB2312" w:eastAsia="仿宋_GB2312" w:cs="仿宋_GB2312"/>
          <w:kern w:val="0"/>
          <w:sz w:val="32"/>
          <w:szCs w:val="32"/>
        </w:rPr>
        <w:t>我市通过举办中国国际马产业博览会、国际马术耐力赛、全国少数民族运动会、大兴安岭马越野赛等活动积累了丰富的举办大型赛事</w:t>
      </w:r>
      <w:r>
        <w:rPr>
          <w:rFonts w:hint="eastAsia" w:ascii="仿宋_GB2312" w:hAnsi="仿宋_GB2312" w:eastAsia="仿宋_GB2312" w:cs="仿宋_GB2312"/>
          <w:spacing w:val="8"/>
          <w:kern w:val="0"/>
          <w:sz w:val="32"/>
          <w:szCs w:val="32"/>
        </w:rPr>
        <w:t>经验，组织能力和办会水平受到各方好评，赛事品牌影响力显著提升。</w:t>
      </w:r>
    </w:p>
    <w:p>
      <w:pPr>
        <w:ind w:firstLine="640" w:firstLineChars="200"/>
        <w:rPr>
          <w:rFonts w:hint="eastAsia" w:ascii="仿宋_GB2312" w:hAnsi="仿宋_GB2312" w:eastAsia="仿宋_GB2312" w:cs="仿宋_GB2312"/>
          <w:sz w:val="32"/>
          <w:szCs w:val="32"/>
        </w:rPr>
      </w:pPr>
      <w:bookmarkStart w:id="156" w:name="_Toc10568_WPSOffice_Level3"/>
      <w:bookmarkStart w:id="157" w:name="_Toc27206"/>
      <w:bookmarkStart w:id="158" w:name="_Toc9819"/>
      <w:bookmarkStart w:id="159" w:name="_Toc8497"/>
      <w:bookmarkStart w:id="160" w:name="_Toc3446"/>
      <w:r>
        <w:rPr>
          <w:rFonts w:hint="eastAsia" w:ascii="仿宋_GB2312" w:hAnsi="仿宋_GB2312" w:eastAsia="仿宋_GB2312" w:cs="仿宋_GB2312"/>
          <w:sz w:val="32"/>
          <w:szCs w:val="32"/>
        </w:rPr>
        <w:t>5、具有良好的区位优势和民俗旅游资源</w:t>
      </w:r>
      <w:bookmarkEnd w:id="156"/>
      <w:bookmarkEnd w:id="157"/>
      <w:bookmarkEnd w:id="158"/>
      <w:bookmarkEnd w:id="159"/>
      <w:bookmarkEnd w:id="160"/>
      <w:r>
        <w:rPr>
          <w:rFonts w:hint="eastAsia" w:ascii="仿宋_GB2312" w:hAnsi="仿宋_GB2312" w:eastAsia="仿宋_GB2312" w:cs="仿宋_GB2312"/>
          <w:sz w:val="32"/>
          <w:szCs w:val="32"/>
        </w:rPr>
        <w:t>。良好的区位优势、便利的交通条件，使得我市拥有马产业发展的广阔前景和市场。呼伦贝尔南部与兴安盟相连，东部以嫩江为界与黑龙江省为邻，北和西北部以额尔古纳河为界与俄罗斯接壤，西和西南部同蒙古国交界。发挥我市自然资源、文化优势，促进现代马业充分发展。通过马匹比赛和表演吸引内蒙古、东北乃至全国爱马人士以及俄罗斯、蒙古的国外游客，间接的推动当地的旅游业，从而拉动地方经济。旅游市场需求旺盛，为马产业快速发展保驾护航。</w:t>
      </w:r>
    </w:p>
    <w:p>
      <w:pPr>
        <w:ind w:firstLine="640" w:firstLineChars="200"/>
        <w:rPr>
          <w:rFonts w:hint="eastAsia" w:ascii="仿宋_GB2312" w:hAnsi="仿宋_GB2312" w:eastAsia="仿宋_GB2312" w:cs="仿宋_GB2312"/>
          <w:sz w:val="32"/>
          <w:szCs w:val="32"/>
        </w:rPr>
      </w:pPr>
      <w:bookmarkStart w:id="161" w:name="_Toc29758"/>
      <w:bookmarkStart w:id="162" w:name="_Toc5092_WPSOffice_Level3"/>
      <w:bookmarkStart w:id="163" w:name="_Toc30276"/>
      <w:r>
        <w:rPr>
          <w:rFonts w:hint="eastAsia" w:ascii="仿宋_GB2312" w:hAnsi="仿宋_GB2312" w:eastAsia="仿宋_GB2312" w:cs="仿宋_GB2312"/>
          <w:sz w:val="32"/>
          <w:szCs w:val="32"/>
        </w:rPr>
        <w:t>6、国内外马业发展新趋势</w:t>
      </w:r>
      <w:bookmarkEnd w:id="161"/>
      <w:bookmarkEnd w:id="162"/>
      <w:bookmarkEnd w:id="163"/>
      <w:r>
        <w:rPr>
          <w:rFonts w:hint="eastAsia" w:ascii="仿宋_GB2312" w:hAnsi="仿宋_GB2312" w:eastAsia="仿宋_GB2312" w:cs="仿宋_GB2312"/>
          <w:sz w:val="32"/>
          <w:szCs w:val="32"/>
        </w:rPr>
        <w:t>。随着我国综合国力和人民生活水平的提高，社会对体育竞技和健身娱乐的需求也随之提高，对竞技用马、娱乐用马的需求量增大，马的多能性得以发挥。国外发达国家现代马业综合文化、体育、竞技、休闲于一体，重点发展赛马、马术运动、马车赛、表演马术、文化娱乐马术、旅游马术、育马及服务行业等。以休闲骑乘为主的美国马业发展模式、以赛马为主的日本马业发展模式、以马术业为主的德国模式和以产品养马为主的俄罗斯模式，在世界现代马产业中占据举足轻重的地位，为我国现代马产业发展提供有益的借鉴。</w:t>
      </w:r>
      <w:bookmarkStart w:id="164" w:name="_Toc13838"/>
      <w:bookmarkStart w:id="165" w:name="_Toc13459_WPSOffice_Level1"/>
    </w:p>
    <w:p>
      <w:pPr>
        <w:pStyle w:val="2"/>
        <w:ind w:firstLine="640" w:firstLineChars="200"/>
        <w:rPr>
          <w:rFonts w:hint="eastAsia" w:ascii="黑体" w:hAnsi="黑体" w:eastAsia="黑体" w:cs="黑体"/>
          <w:b w:val="0"/>
          <w:bCs/>
          <w:sz w:val="32"/>
          <w:szCs w:val="32"/>
        </w:rPr>
      </w:pPr>
      <w:bookmarkStart w:id="166" w:name="_Toc5723"/>
      <w:bookmarkStart w:id="167" w:name="_Toc8799"/>
      <w:bookmarkStart w:id="168" w:name="_Toc16544"/>
      <w:bookmarkStart w:id="169" w:name="_Toc22020"/>
      <w:bookmarkStart w:id="170" w:name="_Toc18582"/>
      <w:bookmarkStart w:id="171" w:name="_Toc16741"/>
      <w:bookmarkStart w:id="172" w:name="_Toc5254"/>
      <w:r>
        <w:rPr>
          <w:rFonts w:hint="eastAsia" w:ascii="黑体" w:hAnsi="黑体" w:eastAsia="黑体" w:cs="黑体"/>
          <w:b w:val="0"/>
          <w:bCs/>
          <w:sz w:val="32"/>
          <w:szCs w:val="32"/>
        </w:rPr>
        <w:t>二、指导思想和原则</w:t>
      </w:r>
      <w:bookmarkEnd w:id="164"/>
      <w:bookmarkEnd w:id="165"/>
      <w:bookmarkEnd w:id="166"/>
      <w:bookmarkEnd w:id="167"/>
      <w:bookmarkEnd w:id="168"/>
      <w:bookmarkEnd w:id="169"/>
      <w:bookmarkEnd w:id="170"/>
      <w:bookmarkEnd w:id="171"/>
      <w:bookmarkEnd w:id="172"/>
      <w:bookmarkStart w:id="173" w:name="_Toc27252_WPSOffice_Level2"/>
      <w:bookmarkStart w:id="174" w:name="_Toc16573_WPSOffice_Level2"/>
      <w:bookmarkStart w:id="175" w:name="_Toc463"/>
      <w:bookmarkStart w:id="176" w:name="_Toc7676_WPSOffice_Level2"/>
      <w:bookmarkStart w:id="177" w:name="_Toc18426_WPSOffice_Level2"/>
      <w:bookmarkStart w:id="178" w:name="_Toc23638"/>
      <w:bookmarkStart w:id="179" w:name="_Toc31402"/>
      <w:bookmarkStart w:id="180" w:name="_Toc395275244"/>
    </w:p>
    <w:p>
      <w:pPr>
        <w:pStyle w:val="3"/>
        <w:ind w:firstLine="640" w:firstLineChars="200"/>
        <w:rPr>
          <w:rFonts w:hint="eastAsia"/>
          <w:b w:val="0"/>
          <w:bCs/>
          <w:sz w:val="32"/>
          <w:szCs w:val="32"/>
        </w:rPr>
      </w:pPr>
      <w:bookmarkStart w:id="181" w:name="_Toc23762"/>
      <w:bookmarkStart w:id="182" w:name="_Toc6155"/>
      <w:bookmarkStart w:id="183" w:name="_Toc13214"/>
      <w:bookmarkStart w:id="184" w:name="_Toc2616"/>
      <w:bookmarkStart w:id="185" w:name="_Toc24654"/>
      <w:bookmarkStart w:id="186" w:name="_Toc19377"/>
      <w:bookmarkStart w:id="187" w:name="_Toc1227"/>
      <w:r>
        <w:rPr>
          <w:rFonts w:hint="eastAsia"/>
          <w:b w:val="0"/>
          <w:bCs/>
          <w:sz w:val="32"/>
          <w:szCs w:val="32"/>
        </w:rPr>
        <w:t>（一）指导思想</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新时代中国特色社会主义思想为指导，全面贯彻党的十九大和十九届二中、三中、四中全会精神以及习近平总书记考察内蒙古重要讲话重要指示批示精神，弘扬“蒙古马精神”，按照传统产业现代化、现代产业规模化、特色产业多元化发展路子，坚持政府引导、市场驱动、企业推动、农牧民参与原则，加快传统马业转型升级，发展现代马产业，促进牧民增收、马业增效、牧区繁荣</w:t>
      </w:r>
      <w:bookmarkStart w:id="188" w:name="_Toc395275245"/>
      <w:r>
        <w:rPr>
          <w:rFonts w:hint="eastAsia" w:ascii="仿宋_GB2312" w:hAnsi="仿宋_GB2312" w:eastAsia="仿宋_GB2312" w:cs="仿宋_GB2312"/>
          <w:sz w:val="32"/>
          <w:szCs w:val="32"/>
        </w:rPr>
        <w:t>。</w:t>
      </w:r>
    </w:p>
    <w:p>
      <w:pPr>
        <w:pStyle w:val="3"/>
        <w:ind w:firstLine="640" w:firstLineChars="200"/>
        <w:rPr>
          <w:rFonts w:hint="eastAsia"/>
          <w:b w:val="0"/>
          <w:bCs/>
          <w:sz w:val="32"/>
          <w:szCs w:val="32"/>
        </w:rPr>
      </w:pPr>
      <w:bookmarkStart w:id="189" w:name="_Toc2557"/>
      <w:bookmarkStart w:id="190" w:name="_Toc5725"/>
      <w:bookmarkStart w:id="191" w:name="_Toc11332"/>
      <w:bookmarkStart w:id="192" w:name="_Toc17334"/>
      <w:bookmarkStart w:id="193" w:name="_Toc14114"/>
      <w:bookmarkStart w:id="194" w:name="_Toc21755"/>
      <w:bookmarkStart w:id="195" w:name="_Toc14133"/>
      <w:bookmarkStart w:id="196" w:name="_Toc11093"/>
      <w:bookmarkStart w:id="197" w:name="_Toc13453_WPSOffice_Level2"/>
      <w:bookmarkStart w:id="198" w:name="_Toc23467"/>
      <w:bookmarkStart w:id="199" w:name="_Toc10950"/>
      <w:bookmarkStart w:id="200" w:name="_Toc23148_WPSOffice_Level2"/>
      <w:bookmarkStart w:id="201" w:name="_Toc16020_WPSOffice_Level2"/>
      <w:bookmarkStart w:id="202" w:name="_Toc18963_WPSOffice_Level2"/>
      <w:r>
        <w:rPr>
          <w:rFonts w:hint="eastAsia"/>
          <w:b w:val="0"/>
          <w:bCs/>
          <w:sz w:val="32"/>
          <w:szCs w:val="32"/>
        </w:rPr>
        <w:t>（二）基本原则</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ind w:firstLine="640" w:firstLineChars="200"/>
        <w:rPr>
          <w:rFonts w:hint="eastAsia" w:ascii="仿宋_GB2312" w:hAnsi="仿宋_GB2312" w:eastAsia="仿宋_GB2312" w:cs="仿宋_GB2312"/>
          <w:sz w:val="32"/>
          <w:szCs w:val="32"/>
        </w:rPr>
      </w:pPr>
      <w:bookmarkStart w:id="203" w:name="_Toc1124"/>
      <w:bookmarkStart w:id="204" w:name="_Toc18261_WPSOffice_Level3"/>
      <w:bookmarkStart w:id="205" w:name="_Toc21877_WPSOffice_Level3"/>
      <w:bookmarkStart w:id="206" w:name="_Toc2114"/>
      <w:bookmarkStart w:id="207" w:name="_Toc30327_WPSOffice_Level3"/>
      <w:bookmarkStart w:id="208" w:name="_Toc29236_WPSOffice_Level3"/>
      <w:r>
        <w:rPr>
          <w:rFonts w:hint="eastAsia" w:ascii="仿宋_GB2312" w:hAnsi="仿宋_GB2312" w:eastAsia="仿宋_GB2312" w:cs="仿宋_GB2312"/>
          <w:sz w:val="32"/>
          <w:szCs w:val="32"/>
        </w:rPr>
        <w:t>1、坚持生态优先、绿色发展原则</w:t>
      </w:r>
      <w:bookmarkEnd w:id="203"/>
      <w:bookmarkEnd w:id="204"/>
      <w:bookmarkEnd w:id="205"/>
      <w:bookmarkEnd w:id="206"/>
      <w:bookmarkEnd w:id="207"/>
      <w:bookmarkEnd w:id="208"/>
      <w:r>
        <w:rPr>
          <w:rFonts w:hint="eastAsia" w:ascii="仿宋_GB2312" w:hAnsi="仿宋_GB2312" w:eastAsia="仿宋_GB2312" w:cs="仿宋_GB2312"/>
          <w:sz w:val="32"/>
          <w:szCs w:val="32"/>
        </w:rPr>
        <w:t>。以核定草原的产草量为基础，以草定畜，增草增畜，以达到科学合理的载畜量，实现草与畜之间的动态平衡，马业发展要与牛羊、猪畜发展相协调，解决好马产业发展中饲草料、基础设施建设、草畜平衡的问题。牢固树立生态优先、绿色发展理念，强化生态保护意识，坚持把推进绿色发展、保护生态环境纳入现代马业总体发展思路和发展规划，促进现代马产业绿色发展。</w:t>
      </w:r>
    </w:p>
    <w:p>
      <w:pPr>
        <w:ind w:firstLine="640" w:firstLineChars="200"/>
        <w:rPr>
          <w:rFonts w:hint="eastAsia" w:ascii="仿宋_GB2312" w:hAnsi="仿宋_GB2312" w:eastAsia="仿宋_GB2312" w:cs="仿宋_GB2312"/>
          <w:sz w:val="32"/>
          <w:szCs w:val="32"/>
        </w:rPr>
      </w:pPr>
      <w:bookmarkStart w:id="209" w:name="_Toc5301_WPSOffice_Level3"/>
      <w:bookmarkStart w:id="210" w:name="_Toc20950"/>
      <w:bookmarkStart w:id="211" w:name="_Toc12676_WPSOffice_Level3"/>
      <w:bookmarkStart w:id="212" w:name="_Toc24084_WPSOffice_Level3"/>
      <w:bookmarkStart w:id="213" w:name="_Toc27117"/>
      <w:bookmarkStart w:id="214" w:name="_Toc11220_WPSOffice_Level3"/>
      <w:r>
        <w:rPr>
          <w:rFonts w:hint="eastAsia" w:ascii="仿宋_GB2312" w:hAnsi="仿宋_GB2312" w:eastAsia="仿宋_GB2312" w:cs="仿宋_GB2312"/>
          <w:sz w:val="32"/>
          <w:szCs w:val="32"/>
        </w:rPr>
        <w:t>2、坚持市场导向原则</w:t>
      </w:r>
      <w:bookmarkEnd w:id="209"/>
      <w:bookmarkEnd w:id="210"/>
      <w:bookmarkEnd w:id="211"/>
      <w:bookmarkEnd w:id="212"/>
      <w:bookmarkEnd w:id="213"/>
      <w:bookmarkEnd w:id="214"/>
      <w:r>
        <w:rPr>
          <w:rFonts w:hint="eastAsia" w:ascii="仿宋_GB2312" w:hAnsi="仿宋_GB2312" w:eastAsia="仿宋_GB2312" w:cs="仿宋_GB2312"/>
          <w:sz w:val="32"/>
          <w:szCs w:val="32"/>
        </w:rPr>
        <w:t>。坚持建立健全和完善市场营销体系和网络，服务马产业发展。利用科学的产业体系整合现有资源，规范产业发展，建立完善的马产业体系基础。以市场需求为导向生产和提供符合消费者追求的马产品和马服务，加强马产品和马服务的开发研究，深度挖掘产品背后的价值，提高产品和服务的附加值。</w:t>
      </w:r>
    </w:p>
    <w:p>
      <w:pPr>
        <w:ind w:firstLine="640" w:firstLineChars="200"/>
        <w:rPr>
          <w:rFonts w:hint="eastAsia" w:ascii="仿宋_GB2312" w:hAnsi="仿宋_GB2312" w:eastAsia="仿宋_GB2312" w:cs="仿宋_GB2312"/>
          <w:bCs/>
          <w:sz w:val="32"/>
          <w:szCs w:val="32"/>
        </w:rPr>
      </w:pPr>
      <w:bookmarkStart w:id="215" w:name="_Toc3246"/>
      <w:bookmarkStart w:id="216" w:name="_Toc26139_WPSOffice_Level3"/>
      <w:bookmarkStart w:id="217" w:name="_Toc31060_WPSOffice_Level3"/>
      <w:bookmarkStart w:id="218" w:name="_Toc21159_WPSOffice_Level3"/>
      <w:bookmarkStart w:id="219" w:name="_Toc22429"/>
      <w:bookmarkStart w:id="220" w:name="_Toc3137_WPSOffice_Level3"/>
      <w:r>
        <w:rPr>
          <w:rFonts w:hint="eastAsia" w:ascii="仿宋_GB2312" w:hAnsi="仿宋_GB2312" w:eastAsia="仿宋_GB2312" w:cs="仿宋_GB2312"/>
          <w:sz w:val="32"/>
          <w:szCs w:val="32"/>
        </w:rPr>
        <w:t>3、坚持创新驱动原则</w:t>
      </w:r>
      <w:bookmarkEnd w:id="215"/>
      <w:bookmarkEnd w:id="216"/>
      <w:bookmarkEnd w:id="217"/>
      <w:bookmarkEnd w:id="218"/>
      <w:bookmarkEnd w:id="219"/>
      <w:bookmarkEnd w:id="220"/>
      <w:r>
        <w:rPr>
          <w:rFonts w:hint="eastAsia" w:ascii="仿宋_GB2312" w:hAnsi="仿宋_GB2312" w:eastAsia="仿宋_GB2312" w:cs="仿宋_GB2312"/>
          <w:sz w:val="32"/>
          <w:szCs w:val="32"/>
        </w:rPr>
        <w:t>。以产学研体系建设为支撑，以科学技术培训为重点，提高自主创新能力。加强科技交流合作，联合开展技术攻关与集成推广，构成分工协作、有机结合的创新链。促进科技成果转化为现实生产力，为转变马产业的发展方式及现代马业发展提供强大动力。</w:t>
      </w:r>
    </w:p>
    <w:p>
      <w:pPr>
        <w:ind w:firstLine="640" w:firstLineChars="200"/>
        <w:rPr>
          <w:rFonts w:hint="eastAsia" w:ascii="仿宋_GB2312" w:hAnsi="仿宋_GB2312" w:eastAsia="仿宋_GB2312" w:cs="仿宋_GB2312"/>
          <w:sz w:val="32"/>
          <w:szCs w:val="32"/>
        </w:rPr>
      </w:pPr>
      <w:bookmarkStart w:id="221" w:name="_Toc1767"/>
      <w:bookmarkStart w:id="222" w:name="_Toc1002_WPSOffice_Level3"/>
      <w:bookmarkStart w:id="223" w:name="_Toc31681_WPSOffice_Level3"/>
      <w:bookmarkStart w:id="224" w:name="_Toc9399_WPSOffice_Level3"/>
      <w:bookmarkStart w:id="225" w:name="_Toc23586"/>
      <w:bookmarkStart w:id="226" w:name="_Toc32005_WPSOffice_Level3"/>
      <w:r>
        <w:rPr>
          <w:rFonts w:hint="eastAsia" w:ascii="仿宋_GB2312" w:hAnsi="仿宋_GB2312" w:eastAsia="仿宋_GB2312" w:cs="仿宋_GB2312"/>
          <w:sz w:val="32"/>
          <w:szCs w:val="32"/>
        </w:rPr>
        <w:t>4、坚持协调发展原则</w:t>
      </w:r>
      <w:bookmarkEnd w:id="221"/>
      <w:bookmarkEnd w:id="222"/>
      <w:bookmarkEnd w:id="223"/>
      <w:bookmarkEnd w:id="224"/>
      <w:bookmarkEnd w:id="225"/>
      <w:bookmarkEnd w:id="226"/>
      <w:r>
        <w:rPr>
          <w:rFonts w:hint="eastAsia" w:ascii="仿宋_GB2312" w:hAnsi="仿宋_GB2312" w:eastAsia="仿宋_GB2312" w:cs="仿宋_GB2312"/>
          <w:sz w:val="32"/>
          <w:szCs w:val="32"/>
        </w:rPr>
        <w:t>。坚持政府引导、企业带动、农牧民参与相结合。企业通过商品化生产的示范引领，利用市场机制与农牧民形成现代马业发展的利益主体，政府在产业政策导向、金融资金、土地规划等方面给予支持。认真解决好马产业发展中饲草料基地、疫病防治、基础设施建设、资金投入等影响马产业发展的问题，形成协调发展的机制。</w:t>
      </w:r>
    </w:p>
    <w:p>
      <w:pPr>
        <w:ind w:firstLine="640" w:firstLineChars="200"/>
        <w:rPr>
          <w:rFonts w:hint="eastAsia" w:ascii="黑体" w:hAnsi="黑体" w:eastAsia="黑体" w:cs="黑体"/>
          <w:bCs/>
          <w:sz w:val="32"/>
          <w:szCs w:val="32"/>
        </w:rPr>
      </w:pPr>
      <w:bookmarkStart w:id="227" w:name="_Toc1498"/>
      <w:bookmarkStart w:id="228" w:name="_Toc16525"/>
      <w:bookmarkStart w:id="229" w:name="_Toc21279"/>
      <w:bookmarkStart w:id="230" w:name="_Toc14858"/>
      <w:bookmarkStart w:id="231" w:name="_Toc26340"/>
      <w:bookmarkStart w:id="232" w:name="_Toc16038"/>
      <w:bookmarkStart w:id="233" w:name="_Toc6841_WPSOffice_Level1"/>
      <w:bookmarkStart w:id="234" w:name="_Toc4292"/>
      <w:bookmarkStart w:id="235" w:name="_Toc17866_WPSOffice_Level1"/>
      <w:bookmarkStart w:id="236" w:name="_Toc2616_WPSOffice_Level1"/>
      <w:bookmarkStart w:id="237" w:name="_Toc7229"/>
      <w:bookmarkStart w:id="238" w:name="_Toc15550_WPSOffice_Level1"/>
      <w:bookmarkStart w:id="239" w:name="_Toc28319"/>
      <w:bookmarkStart w:id="240" w:name="_Toc15252"/>
      <w:r>
        <w:rPr>
          <w:rFonts w:hint="eastAsia" w:ascii="黑体" w:hAnsi="黑体" w:eastAsia="黑体" w:cs="黑体"/>
          <w:bCs/>
          <w:sz w:val="32"/>
          <w:szCs w:val="32"/>
        </w:rPr>
        <w:t>三、发展目标和产业布局</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pPr>
        <w:pStyle w:val="3"/>
        <w:ind w:firstLine="640" w:firstLineChars="200"/>
        <w:rPr>
          <w:rFonts w:hint="eastAsia" w:ascii="楷体" w:hAnsi="楷体" w:cs="楷体"/>
          <w:b w:val="0"/>
          <w:bCs/>
          <w:sz w:val="32"/>
          <w:szCs w:val="32"/>
        </w:rPr>
      </w:pPr>
      <w:bookmarkStart w:id="241" w:name="_Toc31365"/>
      <w:bookmarkStart w:id="242" w:name="_Toc26116"/>
      <w:bookmarkStart w:id="243" w:name="_Toc15967_WPSOffice_Level2"/>
      <w:bookmarkStart w:id="244" w:name="_Toc1948_WPSOffice_Level2"/>
      <w:bookmarkStart w:id="245" w:name="_Toc20280"/>
      <w:bookmarkStart w:id="246" w:name="_Toc23102"/>
      <w:bookmarkStart w:id="247" w:name="_Toc28888"/>
      <w:bookmarkStart w:id="248" w:name="_Toc31557_WPSOffice_Level2"/>
      <w:bookmarkStart w:id="249" w:name="_Toc17644_WPSOffice_Level2"/>
      <w:bookmarkStart w:id="250" w:name="_Toc30374"/>
      <w:bookmarkStart w:id="251" w:name="_Toc22249"/>
      <w:bookmarkStart w:id="252" w:name="_Toc27188"/>
      <w:bookmarkStart w:id="253" w:name="_Toc2710"/>
      <w:bookmarkStart w:id="254" w:name="_Toc23096"/>
      <w:r>
        <w:rPr>
          <w:rFonts w:hint="eastAsia" w:ascii="楷体" w:hAnsi="楷体" w:cs="楷体"/>
          <w:b w:val="0"/>
          <w:bCs/>
          <w:sz w:val="32"/>
          <w:szCs w:val="32"/>
        </w:rPr>
        <w:t>（一）发展目标</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现有马产业发展的基础上，充分发挥区域优势，以丰厚的马文化底蕴为支撑，以市场为导向，延伸马产业链。巩固和提高传统马产品的质量和传统赛事水平，积极发展包括马专用饲料、赛马、马术运动、马车赛、表演马术、文化娱乐马术、旅游马术、育马及服务行业等集文化、体育、竞技及休闲于一体的现代马业。实现马一二三产业融合，促进马产业高质量发展。内蒙古马匹拥有量位居全国第一，又作为内蒙古的马匹主产区，要努力把我市打造成全国马产业转型示范基地。</w:t>
      </w:r>
      <w:bookmarkStart w:id="255" w:name="_Toc16837"/>
      <w:bookmarkStart w:id="256" w:name="_Toc2251_WPSOffice_Level3"/>
      <w:bookmarkStart w:id="257" w:name="_Toc22200"/>
      <w:bookmarkStart w:id="258" w:name="_Toc18514"/>
      <w:bookmarkStart w:id="259" w:name="_Toc7141"/>
    </w:p>
    <w:p>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1、养殖和培育目标</w:t>
      </w:r>
      <w:bookmarkEnd w:id="255"/>
      <w:bookmarkEnd w:id="256"/>
      <w:bookmarkEnd w:id="257"/>
      <w:bookmarkEnd w:id="258"/>
      <w:bookmarkEnd w:id="259"/>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到2025年，全市马匹存栏量达到24.8万匹，能繁母马存栏量达到13.05万匹。优化马匹品种和功能结构，加强马品种资源保护和培育改良。</w:t>
      </w:r>
      <w:r>
        <w:rPr>
          <w:rFonts w:hint="eastAsia" w:ascii="仿宋_GB2312" w:hAnsi="仿宋_GB2312" w:eastAsia="仿宋_GB2312" w:cs="仿宋_GB2312"/>
          <w:sz w:val="32"/>
          <w:szCs w:val="32"/>
        </w:rPr>
        <w:t>积极引进国外优良的专用马种质资源开展纯种繁育和改良</w:t>
      </w:r>
      <w:r>
        <w:rPr>
          <w:rFonts w:hint="eastAsia" w:ascii="仿宋_GB2312" w:hAnsi="仿宋_GB2312" w:eastAsia="仿宋_GB2312" w:cs="仿宋_GB2312"/>
          <w:color w:val="000000"/>
          <w:sz w:val="32"/>
          <w:szCs w:val="32"/>
        </w:rPr>
        <w:t>，建立专门化的马品种繁育基地。</w:t>
      </w:r>
      <w:bookmarkStart w:id="260" w:name="_Toc1228_WPSOffice_Level2"/>
      <w:bookmarkStart w:id="261" w:name="_Toc9575_WPSOffice_Level2"/>
      <w:r>
        <w:rPr>
          <w:rFonts w:hint="eastAsia" w:ascii="仿宋_GB2312" w:hAnsi="仿宋_GB2312" w:eastAsia="仿宋_GB2312" w:cs="仿宋_GB2312"/>
          <w:color w:val="000000"/>
          <w:sz w:val="32"/>
          <w:szCs w:val="32"/>
        </w:rPr>
        <w:t>到2025年，分别以蒙古马、大兴安岭马为核心建立2个马品种繁育核心基地。</w:t>
      </w:r>
    </w:p>
    <w:p>
      <w:pPr>
        <w:ind w:firstLine="640" w:firstLineChars="200"/>
        <w:rPr>
          <w:rFonts w:hint="eastAsia" w:ascii="仿宋_GB2312" w:hAnsi="仿宋_GB2312" w:eastAsia="仿宋_GB2312" w:cs="仿宋_GB2312"/>
          <w:color w:val="000000"/>
          <w:sz w:val="32"/>
          <w:szCs w:val="32"/>
        </w:rPr>
      </w:pPr>
      <w:bookmarkStart w:id="262" w:name="_Toc23826"/>
      <w:bookmarkStart w:id="263" w:name="_Toc32508_WPSOffice_Level3"/>
      <w:bookmarkStart w:id="264" w:name="_Toc20188"/>
      <w:r>
        <w:rPr>
          <w:rFonts w:hint="eastAsia" w:ascii="仿宋_GB2312" w:hAnsi="仿宋_GB2312" w:eastAsia="仿宋_GB2312" w:cs="仿宋_GB2312"/>
          <w:sz w:val="32"/>
          <w:szCs w:val="32"/>
        </w:rPr>
        <w:t>2、马人才培养目标</w:t>
      </w:r>
      <w:bookmarkEnd w:id="262"/>
      <w:bookmarkEnd w:id="263"/>
      <w:bookmarkEnd w:id="264"/>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培养马术运动人才，在呼伦贝尔职业技术学院设立相关专业，或将鄂温克职业中学马术专业等并入职业技术学院。整合资源，改造提升，与当地马术俱乐部、马场和国外知名马术学校联合办学，创办马术专业，培养专业人才，引领全国马场和俱乐部对马术运动人才的培训工作。到2025年，将呼伦贝尔市职业技术学院打造成为国内知名的马术人才输出基地。</w:t>
      </w:r>
    </w:p>
    <w:p>
      <w:pPr>
        <w:ind w:firstLine="640" w:firstLineChars="200"/>
        <w:rPr>
          <w:rFonts w:hint="eastAsia" w:ascii="仿宋_GB2312" w:hAnsi="仿宋_GB2312" w:eastAsia="仿宋_GB2312" w:cs="仿宋_GB2312"/>
          <w:color w:val="FF0000"/>
          <w:sz w:val="32"/>
          <w:szCs w:val="32"/>
        </w:rPr>
      </w:pPr>
      <w:bookmarkStart w:id="265" w:name="_Toc29868_WPSOffice_Level3"/>
      <w:bookmarkStart w:id="266" w:name="_Toc17605"/>
      <w:bookmarkStart w:id="267" w:name="_Toc15390"/>
      <w:r>
        <w:rPr>
          <w:rFonts w:hint="eastAsia" w:ascii="仿宋_GB2312" w:hAnsi="仿宋_GB2312" w:eastAsia="仿宋_GB2312" w:cs="仿宋_GB2312"/>
          <w:sz w:val="32"/>
          <w:szCs w:val="32"/>
        </w:rPr>
        <w:t>3、防疫体系</w:t>
      </w:r>
      <w:bookmarkEnd w:id="265"/>
      <w:bookmarkEnd w:id="266"/>
      <w:bookmarkEnd w:id="267"/>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以实施国家中长期动物疫病防治规划和农业部《全国兽医卫生事业发展规划》为契机，不断加大马疫病防控能力，切实落实免疫、监测、预警、检疫、监管、消毒、无害化处理以及养殖环节防疫监管等各项防控措施，努力确保不发生区域性马重大疫情。进一步加强各地马传贫、马鼻疽等疫病防控，统筹做好马流感、痉挛疝等常见病的防控指导，重点防范马外来疫病传入，逐步实现马疫病区域化管理。加强养殖场户综合防疫管理，不断提高生物安全水平。建立马病防治和综合服务兽医队伍，完善防疫、检疫、监测、诊疗等所需设施设备，提高兽医人才培养及培训力度，为马产业健康发展保驾护航。到2025年，把我市打造成为马防疫免疫国际区。</w:t>
      </w:r>
    </w:p>
    <w:p>
      <w:pPr>
        <w:ind w:firstLine="640" w:firstLineChars="200"/>
        <w:rPr>
          <w:rFonts w:hint="eastAsia" w:ascii="仿宋_GB2312" w:hAnsi="仿宋_GB2312" w:eastAsia="仿宋_GB2312" w:cs="仿宋_GB2312"/>
          <w:color w:val="000000"/>
          <w:sz w:val="32"/>
          <w:szCs w:val="32"/>
        </w:rPr>
      </w:pPr>
      <w:bookmarkStart w:id="268" w:name="_Toc31340"/>
      <w:bookmarkStart w:id="269" w:name="_Toc30030"/>
      <w:bookmarkStart w:id="270" w:name="_Toc14909_WPSOffice_Level3"/>
      <w:bookmarkStart w:id="271" w:name="_Toc21179"/>
      <w:bookmarkStart w:id="272" w:name="_Toc22469"/>
      <w:r>
        <w:rPr>
          <w:rFonts w:hint="eastAsia" w:ascii="仿宋_GB2312" w:hAnsi="仿宋_GB2312" w:eastAsia="仿宋_GB2312" w:cs="仿宋_GB2312"/>
          <w:sz w:val="32"/>
          <w:szCs w:val="32"/>
        </w:rPr>
        <w:t>4、体育休闲娱乐马业</w:t>
      </w:r>
      <w:bookmarkEnd w:id="268"/>
      <w:bookmarkEnd w:id="269"/>
      <w:bookmarkEnd w:id="270"/>
      <w:bookmarkEnd w:id="271"/>
      <w:bookmarkEnd w:id="272"/>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培育壮大马竞技体育产业，按照国际标准改造完善大型赛事和马术活动场所，举办专业化、标准化赛事，积累运营和管理经验，形成专业化、产业化和制度化集体育、休闲、娱乐为一体的知名赛事品牌。借助赛事推进良种马展示交易，建设线上交易和展示平台。创新以蒙元文化为主的牧区旗特色赛事及休闲娱乐活动，丰富广大牧民群众业余生活。到2025年，</w:t>
      </w:r>
      <w:r>
        <w:rPr>
          <w:rFonts w:hint="eastAsia" w:ascii="仿宋_GB2312" w:hAnsi="仿宋_GB2312" w:eastAsia="仿宋_GB2312" w:cs="仿宋_GB2312"/>
          <w:sz w:val="32"/>
          <w:szCs w:val="32"/>
        </w:rPr>
        <w:t>建设14个高水平的赛马场。打造良种马国际展示交易中心，推动马产业高质量发展，为地区经济增添活力。每年举办休闲娱乐活动350次左右，注重提高质量和影响力。</w:t>
      </w:r>
    </w:p>
    <w:bookmarkEnd w:id="260"/>
    <w:bookmarkEnd w:id="261"/>
    <w:p>
      <w:pPr>
        <w:ind w:firstLine="640" w:firstLineChars="200"/>
        <w:rPr>
          <w:rFonts w:hint="eastAsia" w:ascii="仿宋_GB2312" w:hAnsi="仿宋_GB2312" w:eastAsia="仿宋_GB2312" w:cs="仿宋_GB2312"/>
          <w:color w:val="000000"/>
          <w:sz w:val="32"/>
          <w:szCs w:val="32"/>
        </w:rPr>
      </w:pPr>
      <w:bookmarkStart w:id="273" w:name="_Toc25891"/>
      <w:bookmarkStart w:id="274" w:name="_Toc26719"/>
      <w:bookmarkStart w:id="275" w:name="_Toc10073_WPSOffice_Level3"/>
      <w:bookmarkStart w:id="276" w:name="_Toc6384"/>
      <w:bookmarkStart w:id="277" w:name="_Toc1663"/>
      <w:r>
        <w:rPr>
          <w:rFonts w:hint="eastAsia" w:ascii="仿宋_GB2312" w:hAnsi="仿宋_GB2312" w:eastAsia="仿宋_GB2312" w:cs="仿宋_GB2312"/>
          <w:sz w:val="32"/>
          <w:szCs w:val="32"/>
        </w:rPr>
        <w:t>5、马文化传承目标</w:t>
      </w:r>
      <w:bookmarkEnd w:id="273"/>
      <w:bookmarkEnd w:id="274"/>
      <w:bookmarkEnd w:id="275"/>
      <w:bookmarkEnd w:id="276"/>
      <w:bookmarkEnd w:id="277"/>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rPr>
        <w:t>加大力度弘扬和传承“蒙古马”精神，把马文化打造成为草原文化的标志。</w:t>
      </w:r>
      <w:r>
        <w:rPr>
          <w:rFonts w:hint="eastAsia" w:ascii="仿宋_GB2312" w:hAnsi="仿宋_GB2312" w:eastAsia="仿宋_GB2312" w:cs="仿宋_GB2312"/>
          <w:sz w:val="32"/>
          <w:szCs w:val="32"/>
        </w:rPr>
        <w:t>加强马博物馆和马主题公园等文化展示平台的建设，博物馆与主题公园要相邻建造，方便游客参观博物馆后在主题公园中体验。修建休闲观光马道，让游客骑马或者驾马车观光。主题公园园区中布局建设马文化旅游体验基地。体验基地中可汇集马文化摄影作品、马具民俗用品、邮票邮集制品、蒙元文化手工艺品等，建立统一的交易平台，方便游客购买。主题公园中要建有文艺表演厅，邀请“草原上的轻骑兵”—乌兰牧骑驻地表演，创造鲜美的文艺作品，让游客感受马文化魅力。</w:t>
      </w:r>
      <w:r>
        <w:rPr>
          <w:rFonts w:hint="eastAsia" w:ascii="仿宋_GB2312" w:hAnsi="仿宋_GB2312" w:eastAsia="仿宋_GB2312" w:cs="仿宋_GB2312"/>
          <w:color w:val="000000"/>
          <w:sz w:val="32"/>
          <w:szCs w:val="32"/>
        </w:rPr>
        <w:t>到2025年，</w:t>
      </w:r>
      <w:r>
        <w:rPr>
          <w:rFonts w:hint="eastAsia" w:ascii="仿宋_GB2312" w:hAnsi="仿宋_GB2312" w:eastAsia="仿宋_GB2312" w:cs="仿宋_GB2312"/>
          <w:sz w:val="32"/>
          <w:szCs w:val="32"/>
        </w:rPr>
        <w:t>建设分别以蒙古马、三河马为主题建立博物馆、主题公园及旅游体验基地，加强软硬件设施建设，做好各方面的管理、控制、监督工作。</w:t>
      </w:r>
    </w:p>
    <w:p>
      <w:pPr>
        <w:ind w:firstLine="640" w:firstLineChars="200"/>
        <w:rPr>
          <w:rFonts w:hint="eastAsia" w:ascii="仿宋_GB2312" w:hAnsi="仿宋_GB2312" w:eastAsia="仿宋_GB2312" w:cs="仿宋_GB2312"/>
          <w:color w:val="000000"/>
          <w:sz w:val="32"/>
          <w:szCs w:val="32"/>
        </w:rPr>
      </w:pPr>
      <w:bookmarkStart w:id="278" w:name="_Toc8870"/>
      <w:bookmarkStart w:id="279" w:name="_Toc16800"/>
      <w:bookmarkStart w:id="280" w:name="_Toc31632"/>
      <w:bookmarkStart w:id="281" w:name="_Toc20876_WPSOffice_Level3"/>
      <w:bookmarkStart w:id="282" w:name="_Toc8721"/>
      <w:r>
        <w:rPr>
          <w:rFonts w:hint="eastAsia" w:ascii="仿宋_GB2312" w:hAnsi="仿宋_GB2312" w:eastAsia="仿宋_GB2312" w:cs="仿宋_GB2312"/>
          <w:sz w:val="32"/>
          <w:szCs w:val="32"/>
        </w:rPr>
        <w:t>6、产品质量数量发展目标</w:t>
      </w:r>
      <w:bookmarkEnd w:id="278"/>
      <w:bookmarkEnd w:id="279"/>
      <w:bookmarkEnd w:id="280"/>
      <w:bookmarkEnd w:id="281"/>
      <w:bookmarkEnd w:id="282"/>
      <w:r>
        <w:rPr>
          <w:rFonts w:hint="eastAsia" w:ascii="仿宋_GB2312" w:hAnsi="仿宋_GB2312" w:eastAsia="仿宋_GB2312" w:cs="仿宋_GB2312"/>
          <w:sz w:val="32"/>
          <w:szCs w:val="32"/>
        </w:rPr>
        <w:t>。建立马制品综合开发体系，创建养殖生产、加工、经营贸易的综合型企业，通过马奶、马肉、马骨粉、马血清等产品和生物制品的开发，带动全市现代马业综合发展，带动农牧民致富。制定和完善马产品生产技术标准，鼓励企业创建知名品牌，提高产品附加值。</w:t>
      </w:r>
      <w:r>
        <w:rPr>
          <w:rFonts w:hint="eastAsia" w:ascii="仿宋_GB2312" w:hAnsi="仿宋_GB2312" w:eastAsia="仿宋_GB2312" w:cs="仿宋_GB2312"/>
          <w:color w:val="000000"/>
          <w:sz w:val="32"/>
          <w:szCs w:val="32"/>
        </w:rPr>
        <w:t>到2025年，马奶产量将达到13083吨，马肉产量达到17011吨。</w:t>
      </w:r>
    </w:p>
    <w:p>
      <w:pPr>
        <w:ind w:firstLine="640" w:firstLineChars="200"/>
        <w:rPr>
          <w:rFonts w:hint="eastAsia" w:ascii="仿宋_GB2312" w:hAnsi="仿宋_GB2312" w:eastAsia="仿宋_GB2312" w:cs="仿宋_GB2312"/>
          <w:color w:val="000000"/>
          <w:sz w:val="32"/>
          <w:szCs w:val="32"/>
        </w:rPr>
      </w:pPr>
      <w:bookmarkStart w:id="283" w:name="_Toc32475"/>
      <w:bookmarkStart w:id="284" w:name="_Toc14052"/>
      <w:bookmarkStart w:id="285" w:name="_Toc15761_WPSOffice_Level3"/>
      <w:bookmarkStart w:id="286" w:name="_Toc24168"/>
      <w:bookmarkStart w:id="287" w:name="_Toc12266"/>
      <w:r>
        <w:rPr>
          <w:rFonts w:hint="eastAsia" w:ascii="仿宋_GB2312" w:hAnsi="仿宋_GB2312" w:eastAsia="仿宋_GB2312" w:cs="仿宋_GB2312"/>
          <w:sz w:val="32"/>
          <w:szCs w:val="32"/>
        </w:rPr>
        <w:t>7、旅游业发展目标</w:t>
      </w:r>
      <w:bookmarkEnd w:id="283"/>
      <w:bookmarkEnd w:id="284"/>
      <w:bookmarkEnd w:id="285"/>
      <w:bookmarkEnd w:id="286"/>
      <w:bookmarkEnd w:id="287"/>
      <w:r>
        <w:rPr>
          <w:rFonts w:hint="eastAsia" w:ascii="仿宋_GB2312" w:hAnsi="仿宋_GB2312" w:eastAsia="仿宋_GB2312" w:cs="仿宋_GB2312"/>
          <w:sz w:val="32"/>
          <w:szCs w:val="32"/>
        </w:rPr>
        <w:t>。在休闲产业发展中，应将矫健的骏马作为旅游业发展的重要载体，积极开发马文化旅游市场。开发驯马、马术表演等马上技巧，开发有蒙古文化特色的马工艺品等，加强马文化旅游基础设施建设和完善，不断加强马文化与休闲旅游业的融合，吸引更多的国内外游客。</w:t>
      </w:r>
      <w:r>
        <w:rPr>
          <w:rFonts w:hint="eastAsia" w:ascii="仿宋_GB2312" w:hAnsi="仿宋_GB2312" w:eastAsia="仿宋_GB2312" w:cs="仿宋_GB2312"/>
          <w:color w:val="000000"/>
          <w:sz w:val="32"/>
          <w:szCs w:val="32"/>
        </w:rPr>
        <w:t>到2025年，旅游事业发展强劲，旅游景区数量达到58个，年接待人数达到2354万人，年创造旅游收入1071.1亿元。</w:t>
      </w:r>
    </w:p>
    <w:p>
      <w:pPr>
        <w:ind w:firstLine="640" w:firstLineChars="200"/>
        <w:rPr>
          <w:rFonts w:ascii="仿宋_GB2312" w:hAnsi="仿宋_GB2312" w:eastAsia="仿宋_GB2312" w:cs="仿宋_GB2312"/>
          <w:sz w:val="32"/>
          <w:szCs w:val="32"/>
        </w:rPr>
        <w:sectPr>
          <w:pgSz w:w="11906" w:h="16838"/>
          <w:pgMar w:top="1985" w:right="1531" w:bottom="2155" w:left="1531" w:header="851" w:footer="1587" w:gutter="0"/>
          <w:pgNumType w:fmt="numberInDash"/>
          <w:cols w:space="720" w:num="1"/>
          <w:titlePg/>
          <w:docGrid w:type="linesAndChars" w:linePitch="312" w:charSpace="0"/>
        </w:sectPr>
      </w:pPr>
      <w:r>
        <w:rPr>
          <w:rFonts w:hint="eastAsia" w:ascii="仿宋_GB2312" w:hAnsi="仿宋_GB2312" w:eastAsia="仿宋_GB2312" w:cs="仿宋_GB2312"/>
          <w:sz w:val="32"/>
          <w:szCs w:val="32"/>
        </w:rPr>
        <w:t>8、马专用饲料发展目标。通过政府引导，鼓励社会资本参与，建立马专用饲料生产加工企业，根据马品种、生长发育阶段对营养需求的特点，开发马专用饲料科学配方，提高专用饲料的转化率，提升马个体生产性能。为现代马产业向规模化生产、标准化经营、品牌化营销奠定物质基础。到2025年，建成1家年产1万吨的马专用饲料加工企业。</w:t>
      </w:r>
    </w:p>
    <w:p>
      <w:pPr>
        <w:widowControl/>
        <w:spacing w:line="360" w:lineRule="auto"/>
        <w:ind w:right="-105" w:rightChars="-50"/>
        <w:jc w:val="center"/>
        <w:rPr>
          <w:rFonts w:eastAsia="楷体"/>
          <w:bCs/>
          <w:kern w:val="0"/>
          <w:sz w:val="24"/>
        </w:rPr>
      </w:pPr>
      <w:r>
        <w:rPr>
          <w:rFonts w:hint="eastAsia" w:eastAsia="楷体"/>
          <w:bCs/>
          <w:kern w:val="0"/>
          <w:sz w:val="24"/>
        </w:rPr>
        <w:t>表8 呼伦贝尔市马产业规划主要指标</w:t>
      </w:r>
    </w:p>
    <w:tbl>
      <w:tblPr>
        <w:tblStyle w:val="15"/>
        <w:tblpPr w:leftFromText="180" w:rightFromText="180" w:vertAnchor="text" w:horzAnchor="page" w:tblpXSpec="center" w:tblpY="84"/>
        <w:tblOverlap w:val="never"/>
        <w:tblW w:w="0" w:type="auto"/>
        <w:jc w:val="center"/>
        <w:tblLayout w:type="fixed"/>
        <w:tblCellMar>
          <w:top w:w="0" w:type="dxa"/>
          <w:left w:w="0" w:type="dxa"/>
          <w:bottom w:w="0" w:type="dxa"/>
          <w:right w:w="0" w:type="dxa"/>
        </w:tblCellMar>
      </w:tblPr>
      <w:tblGrid>
        <w:gridCol w:w="622"/>
        <w:gridCol w:w="549"/>
        <w:gridCol w:w="2640"/>
        <w:gridCol w:w="669"/>
        <w:gridCol w:w="891"/>
        <w:gridCol w:w="965"/>
        <w:gridCol w:w="1056"/>
        <w:gridCol w:w="1056"/>
        <w:gridCol w:w="1056"/>
        <w:gridCol w:w="1056"/>
        <w:gridCol w:w="1056"/>
        <w:gridCol w:w="1056"/>
        <w:gridCol w:w="1056"/>
        <w:gridCol w:w="1057"/>
      </w:tblGrid>
      <w:tr>
        <w:tblPrEx>
          <w:tblCellMar>
            <w:top w:w="0" w:type="dxa"/>
            <w:left w:w="0" w:type="dxa"/>
            <w:bottom w:w="0" w:type="dxa"/>
            <w:right w:w="0" w:type="dxa"/>
          </w:tblCellMar>
        </w:tblPrEx>
        <w:trPr>
          <w:trHeight w:val="380" w:hRule="atLeast"/>
          <w:jc w:val="center"/>
        </w:trPr>
        <w:tc>
          <w:tcPr>
            <w:tcW w:w="622" w:type="dxa"/>
            <w:vMerge w:val="restart"/>
            <w:tcBorders>
              <w:top w:val="single" w:color="000000" w:sz="8" w:space="0"/>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分类</w:t>
            </w:r>
          </w:p>
        </w:tc>
        <w:tc>
          <w:tcPr>
            <w:tcW w:w="549" w:type="dxa"/>
            <w:vMerge w:val="restart"/>
            <w:tcBorders>
              <w:top w:val="single" w:color="000000" w:sz="8" w:space="0"/>
              <w:left w:val="nil"/>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序号</w:t>
            </w:r>
          </w:p>
        </w:tc>
        <w:tc>
          <w:tcPr>
            <w:tcW w:w="2640" w:type="dxa"/>
            <w:vMerge w:val="restart"/>
            <w:tcBorders>
              <w:top w:val="single" w:color="000000" w:sz="8" w:space="0"/>
              <w:left w:val="nil"/>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主要指标</w:t>
            </w:r>
          </w:p>
        </w:tc>
        <w:tc>
          <w:tcPr>
            <w:tcW w:w="669" w:type="dxa"/>
            <w:vMerge w:val="restart"/>
            <w:tcBorders>
              <w:top w:val="single" w:color="000000" w:sz="8" w:space="0"/>
              <w:left w:val="nil"/>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单位</w:t>
            </w:r>
          </w:p>
        </w:tc>
        <w:tc>
          <w:tcPr>
            <w:tcW w:w="891" w:type="dxa"/>
            <w:tcBorders>
              <w:top w:val="single" w:color="000000" w:sz="8" w:space="0"/>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基期</w:t>
            </w:r>
          </w:p>
        </w:tc>
        <w:tc>
          <w:tcPr>
            <w:tcW w:w="8357" w:type="dxa"/>
            <w:gridSpan w:val="8"/>
            <w:tcBorders>
              <w:top w:val="single" w:color="000000" w:sz="8" w:space="0"/>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规划期</w:t>
            </w:r>
          </w:p>
        </w:tc>
        <w:tc>
          <w:tcPr>
            <w:tcW w:w="1057" w:type="dxa"/>
            <w:vMerge w:val="restart"/>
            <w:tcBorders>
              <w:top w:val="single" w:color="000000" w:sz="8" w:space="0"/>
              <w:left w:val="nil"/>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属性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nil"/>
              <w:right w:val="single" w:color="000000" w:sz="8" w:space="0"/>
            </w:tcBorders>
            <w:shd w:val="clear" w:color="auto" w:fill="auto"/>
            <w:tcMar>
              <w:top w:w="12" w:type="dxa"/>
              <w:left w:w="12" w:type="dxa"/>
              <w:right w:w="12" w:type="dxa"/>
            </w:tcMar>
            <w:vAlign w:val="center"/>
          </w:tcPr>
          <w:p>
            <w:pPr>
              <w:jc w:val="left"/>
              <w:rPr>
                <w:rFonts w:ascii="楷体" w:hAnsi="楷体" w:eastAsia="楷体" w:cs="楷体"/>
                <w:color w:val="000000"/>
                <w:sz w:val="22"/>
              </w:rPr>
            </w:pPr>
          </w:p>
        </w:tc>
        <w:tc>
          <w:tcPr>
            <w:tcW w:w="549" w:type="dxa"/>
            <w:vMerge w:val="continue"/>
            <w:tcBorders>
              <w:left w:val="nil"/>
              <w:bottom w:val="single" w:color="000000" w:sz="8" w:space="0"/>
              <w:right w:val="single" w:color="000000" w:sz="8" w:space="0"/>
            </w:tcBorders>
            <w:shd w:val="clear" w:color="auto" w:fill="auto"/>
            <w:tcMar>
              <w:top w:w="12" w:type="dxa"/>
              <w:left w:w="12" w:type="dxa"/>
              <w:right w:w="12" w:type="dxa"/>
            </w:tcMar>
            <w:vAlign w:val="center"/>
          </w:tcPr>
          <w:p>
            <w:pPr>
              <w:jc w:val="left"/>
              <w:rPr>
                <w:rFonts w:ascii="楷体" w:hAnsi="楷体" w:eastAsia="楷体" w:cs="楷体"/>
                <w:color w:val="000000"/>
                <w:sz w:val="22"/>
              </w:rPr>
            </w:pPr>
          </w:p>
        </w:tc>
        <w:tc>
          <w:tcPr>
            <w:tcW w:w="2640" w:type="dxa"/>
            <w:vMerge w:val="continue"/>
            <w:tcBorders>
              <w:left w:val="nil"/>
              <w:bottom w:val="single" w:color="000000" w:sz="8" w:space="0"/>
              <w:right w:val="single" w:color="000000" w:sz="8" w:space="0"/>
            </w:tcBorders>
            <w:shd w:val="clear" w:color="auto" w:fill="auto"/>
            <w:tcMar>
              <w:top w:w="12" w:type="dxa"/>
              <w:left w:w="12" w:type="dxa"/>
              <w:right w:w="12" w:type="dxa"/>
            </w:tcMar>
            <w:vAlign w:val="center"/>
          </w:tcPr>
          <w:p>
            <w:pPr>
              <w:jc w:val="left"/>
              <w:rPr>
                <w:rFonts w:ascii="楷体" w:hAnsi="楷体" w:eastAsia="楷体" w:cs="楷体"/>
                <w:color w:val="000000"/>
                <w:sz w:val="22"/>
              </w:rPr>
            </w:pPr>
          </w:p>
        </w:tc>
        <w:tc>
          <w:tcPr>
            <w:tcW w:w="669" w:type="dxa"/>
            <w:vMerge w:val="continue"/>
            <w:tcBorders>
              <w:left w:val="nil"/>
              <w:bottom w:val="single" w:color="000000" w:sz="8" w:space="0"/>
              <w:right w:val="single" w:color="000000" w:sz="8" w:space="0"/>
            </w:tcBorders>
            <w:shd w:val="clear" w:color="auto" w:fill="auto"/>
            <w:tcMar>
              <w:top w:w="12" w:type="dxa"/>
              <w:left w:w="12" w:type="dxa"/>
              <w:right w:w="12" w:type="dxa"/>
            </w:tcMar>
            <w:vAlign w:val="center"/>
          </w:tcPr>
          <w:p>
            <w:pPr>
              <w:jc w:val="left"/>
              <w:rPr>
                <w:rFonts w:ascii="楷体" w:hAnsi="楷体" w:eastAsia="楷体" w:cs="楷体"/>
                <w:color w:val="000000"/>
                <w:sz w:val="22"/>
              </w:rPr>
            </w:pP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2018</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2019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2025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ascii="黑体" w:hAnsi="黑体" w:eastAsia="黑体" w:cs="楷体"/>
                <w:color w:val="000000"/>
                <w:sz w:val="22"/>
              </w:rPr>
            </w:pPr>
            <w:r>
              <w:rPr>
                <w:rFonts w:hint="eastAsia" w:ascii="黑体" w:hAnsi="黑体" w:eastAsia="黑体" w:cs="楷体"/>
                <w:color w:val="000000"/>
                <w:kern w:val="0"/>
                <w:sz w:val="22"/>
              </w:rPr>
              <w:t>2035</w:t>
            </w:r>
          </w:p>
        </w:tc>
        <w:tc>
          <w:tcPr>
            <w:tcW w:w="1057" w:type="dxa"/>
            <w:vMerge w:val="continue"/>
            <w:tcBorders>
              <w:left w:val="nil"/>
              <w:bottom w:val="single" w:color="000000" w:sz="8" w:space="0"/>
              <w:right w:val="single" w:color="000000" w:sz="8" w:space="0"/>
            </w:tcBorders>
            <w:tcMar>
              <w:top w:w="12" w:type="dxa"/>
              <w:left w:w="12" w:type="dxa"/>
              <w:right w:w="12" w:type="dxa"/>
            </w:tcMar>
            <w:vAlign w:val="center"/>
          </w:tcPr>
          <w:p>
            <w:pPr>
              <w:jc w:val="left"/>
              <w:rPr>
                <w:rFonts w:ascii="楷体" w:hAnsi="楷体" w:eastAsia="楷体" w:cs="楷体"/>
                <w:color w:val="000000"/>
                <w:sz w:val="22"/>
              </w:rPr>
            </w:pPr>
          </w:p>
        </w:tc>
      </w:tr>
      <w:tr>
        <w:trPr>
          <w:trHeight w:val="380" w:hRule="atLeast"/>
          <w:jc w:val="center"/>
        </w:trPr>
        <w:tc>
          <w:tcPr>
            <w:tcW w:w="622" w:type="dxa"/>
            <w:vMerge w:val="restart"/>
            <w:tcBorders>
              <w:top w:val="single" w:color="000000" w:sz="8" w:space="0"/>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马匹数量</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马匹存栏量</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匹</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233630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235685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237740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239795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241850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243905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245960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248013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268561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能繁母马数量</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匹</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105817</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109931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114045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114456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118159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122273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126387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130501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171641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品种繁育</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蒙古马繁育基地</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三河马繁育基地</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大兴安岭马繁育基地</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防疫情况</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市级防疫机构</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市级防疫机构人员</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人</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旗、市、区级防疫机构</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旗、市、区级防疫机构人员</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人</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42</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镇、苏木级防疫机构</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81</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85</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镇、苏木级防疫机构人员</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人</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1788</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1800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1850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1900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1950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2000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2000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2000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2500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组织形式</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马协会</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家</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马合作社</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家</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马企业</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家</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其中：马专用饲料加工企业</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家</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马俱乐部</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家</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休闲娱乐</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年举办休闲娱乐活动次数</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次</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330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350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350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赛马场</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约束性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马文化</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博物馆</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主题公园</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0</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21</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知识竞赛</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场</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马产品</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22</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马肉</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吨</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12153</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12847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13541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14235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14929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15623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16317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17011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23951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马奶</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吨</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8994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9578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10162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10746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11330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11914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12498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13083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18923</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马骨粉</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公斤</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马血清</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克</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restart"/>
            <w:tcBorders>
              <w:top w:val="nil"/>
              <w:left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旅游事业</w:t>
            </w: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接待旅游人数</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万人</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1717</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1808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1899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1990</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2081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2172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2263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2354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3264</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旅游收入</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亿元</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525.4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603.3</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681.2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759.1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837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914.9</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992.8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1071.1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1862.1</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vMerge w:val="restart"/>
            <w:tcBorders>
              <w:top w:val="nil"/>
              <w:left w:val="nil"/>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w:t>
            </w: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旅游景区</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56</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58</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60</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vMerge w:val="continue"/>
            <w:tcBorders>
              <w:left w:val="nil"/>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其中：AAA级景区</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vMerge w:val="continue"/>
            <w:tcBorders>
              <w:left w:val="nil"/>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AAAA级景区</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r>
        <w:tblPrEx>
          <w:tblCellMar>
            <w:top w:w="0" w:type="dxa"/>
            <w:left w:w="0" w:type="dxa"/>
            <w:bottom w:w="0" w:type="dxa"/>
            <w:right w:w="0" w:type="dxa"/>
          </w:tblCellMar>
        </w:tblPrEx>
        <w:trPr>
          <w:trHeight w:val="380" w:hRule="atLeast"/>
          <w:jc w:val="center"/>
        </w:trPr>
        <w:tc>
          <w:tcPr>
            <w:tcW w:w="622" w:type="dxa"/>
            <w:vMerge w:val="continue"/>
            <w:tcBorders>
              <w:left w:val="single" w:color="000000" w:sz="8" w:space="0"/>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549" w:type="dxa"/>
            <w:vMerge w:val="continue"/>
            <w:tcBorders>
              <w:left w:val="nil"/>
              <w:bottom w:val="single" w:color="000000" w:sz="8" w:space="0"/>
              <w:right w:val="single" w:color="000000" w:sz="8" w:space="0"/>
            </w:tcBorders>
            <w:shd w:val="clear" w:color="auto" w:fill="auto"/>
            <w:tcMar>
              <w:top w:w="12" w:type="dxa"/>
              <w:left w:w="12" w:type="dxa"/>
              <w:right w:w="12" w:type="dxa"/>
            </w:tcMar>
            <w:vAlign w:val="center"/>
          </w:tcPr>
          <w:p>
            <w:pPr>
              <w:jc w:val="left"/>
              <w:rPr>
                <w:rFonts w:hint="eastAsia" w:ascii="仿宋_GB2312" w:hAnsi="楷体" w:eastAsia="仿宋_GB2312" w:cs="楷体"/>
                <w:color w:val="000000"/>
                <w:szCs w:val="21"/>
              </w:rPr>
            </w:pPr>
          </w:p>
        </w:tc>
        <w:tc>
          <w:tcPr>
            <w:tcW w:w="2640"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AAAAA级景区</w:t>
            </w:r>
          </w:p>
        </w:tc>
        <w:tc>
          <w:tcPr>
            <w:tcW w:w="669"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个</w:t>
            </w:r>
          </w:p>
        </w:tc>
        <w:tc>
          <w:tcPr>
            <w:tcW w:w="891"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965"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w:t>
            </w:r>
          </w:p>
        </w:tc>
        <w:tc>
          <w:tcPr>
            <w:tcW w:w="1056"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w:t>
            </w:r>
          </w:p>
        </w:tc>
        <w:tc>
          <w:tcPr>
            <w:tcW w:w="1057" w:type="dxa"/>
            <w:tcBorders>
              <w:top w:val="nil"/>
              <w:left w:val="nil"/>
              <w:bottom w:val="single" w:color="000000" w:sz="8" w:space="0"/>
              <w:right w:val="single" w:color="000000" w:sz="8" w:space="0"/>
            </w:tcBorders>
            <w:shd w:val="clear" w:color="auto" w:fill="FFFFFF"/>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预期性</w:t>
            </w:r>
          </w:p>
        </w:tc>
      </w:tr>
    </w:tbl>
    <w:p>
      <w:pPr>
        <w:widowControl/>
        <w:spacing w:line="360" w:lineRule="auto"/>
        <w:ind w:right="-105" w:rightChars="-50"/>
        <w:jc w:val="left"/>
        <w:rPr>
          <w:rFonts w:eastAsia="楷体"/>
          <w:bCs/>
          <w:kern w:val="0"/>
          <w:sz w:val="24"/>
        </w:rPr>
        <w:sectPr>
          <w:pgSz w:w="16838" w:h="11906" w:orient="landscape"/>
          <w:pgMar w:top="1800" w:right="1440" w:bottom="1800" w:left="1440" w:header="851" w:footer="1587" w:gutter="0"/>
          <w:pgNumType w:fmt="numberInDash"/>
          <w:cols w:space="720" w:num="1"/>
          <w:docGrid w:type="lines" w:linePitch="312" w:charSpace="0"/>
        </w:sectPr>
      </w:pPr>
    </w:p>
    <w:p>
      <w:pPr>
        <w:pStyle w:val="3"/>
        <w:ind w:firstLine="640" w:firstLineChars="200"/>
        <w:rPr>
          <w:rFonts w:hint="eastAsia" w:ascii="楷体" w:hAnsi="楷体" w:cs="楷体"/>
          <w:b w:val="0"/>
          <w:bCs/>
          <w:sz w:val="32"/>
          <w:szCs w:val="32"/>
        </w:rPr>
      </w:pPr>
      <w:bookmarkStart w:id="288" w:name="_Toc30032"/>
      <w:bookmarkStart w:id="289" w:name="_Toc9058"/>
      <w:bookmarkStart w:id="290" w:name="_Toc2674"/>
      <w:bookmarkStart w:id="291" w:name="_Toc2626"/>
      <w:bookmarkStart w:id="292" w:name="_Toc9296"/>
      <w:bookmarkStart w:id="293" w:name="_Toc27173_WPSOffice_Level2"/>
      <w:bookmarkStart w:id="294" w:name="_Toc20738_WPSOffice_Level2"/>
      <w:bookmarkStart w:id="295" w:name="_Toc23029"/>
      <w:bookmarkStart w:id="296" w:name="_Toc5091"/>
      <w:bookmarkStart w:id="297" w:name="_Toc5939_WPSOffice_Level2"/>
      <w:bookmarkStart w:id="298" w:name="_Toc10876_WPSOffice_Level2"/>
      <w:bookmarkStart w:id="299" w:name="_Toc31093"/>
      <w:bookmarkStart w:id="300" w:name="_Toc24342"/>
      <w:bookmarkStart w:id="301" w:name="_Toc5148"/>
      <w:r>
        <w:rPr>
          <w:rFonts w:hint="eastAsia" w:ascii="楷体" w:hAnsi="楷体" w:cs="楷体"/>
          <w:b w:val="0"/>
          <w:bCs/>
          <w:sz w:val="32"/>
          <w:szCs w:val="32"/>
        </w:rPr>
        <w:t>（二）产业布局</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ind w:firstLine="640" w:firstLineChars="200"/>
        <w:rPr>
          <w:rFonts w:hint="eastAsia" w:ascii="仿宋_GB2312" w:hAnsi="仿宋_GB2312" w:eastAsia="仿宋_GB2312" w:cs="仿宋_GB2312"/>
          <w:sz w:val="32"/>
          <w:szCs w:val="32"/>
        </w:rPr>
      </w:pPr>
      <w:bookmarkStart w:id="302" w:name="_Toc32083"/>
      <w:bookmarkStart w:id="303" w:name="_Toc12655_WPSOffice_Level3"/>
      <w:bookmarkStart w:id="304" w:name="_Toc23948"/>
      <w:r>
        <w:rPr>
          <w:rFonts w:hint="eastAsia" w:ascii="仿宋_GB2312" w:hAnsi="仿宋_GB2312" w:eastAsia="仿宋_GB2312" w:cs="仿宋_GB2312"/>
          <w:sz w:val="32"/>
          <w:szCs w:val="32"/>
        </w:rPr>
        <w:t>1、马产业区域规划</w:t>
      </w:r>
      <w:bookmarkEnd w:id="302"/>
      <w:bookmarkEnd w:id="303"/>
      <w:bookmarkEnd w:id="304"/>
    </w:p>
    <w:p>
      <w:pPr>
        <w:widowControl/>
        <w:ind w:right="-105" w:rightChars="-50"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根据现有马匹品种及其分布状况，结合马产业发展趋势，确定我市马产业发展总体规划。形成呼伦贝尔市现代马产业“一环、一带、一线”总体布局。如图1所示，“一环”（绿色箭头）是指新巴尔虎左旗、新巴尔虎右旗、扎兰屯市、阿荣旗、莫力达瓦旗、鄂伦春旗等六市（旗）构成的蒙古马环状产业区；“一带”（深黄色箭头）是指鄂温克旗、陈巴尔虎旗、额尔古纳市构成的三河马带状产业区；“一线”（蓝色箭头）是指牙克石市、根河市构成的大兴安岭马线状产业区。</w:t>
      </w:r>
    </w:p>
    <w:p>
      <w:pPr>
        <w:widowControl/>
        <w:spacing w:line="360" w:lineRule="auto"/>
        <w:ind w:right="-105" w:rightChars="-50"/>
        <w:rPr>
          <w:rFonts w:ascii="楷体" w:hAnsi="楷体" w:eastAsia="楷体" w:cs="楷体"/>
          <w:bCs/>
          <w:color w:val="000000"/>
          <w:sz w:val="24"/>
        </w:rPr>
      </w:pPr>
      <w:r>
        <w:rPr>
          <w:rFonts w:hint="eastAsia" w:ascii="楷体" w:hAnsi="楷体" w:eastAsia="楷体" w:cs="楷体"/>
          <w:color w:val="000000"/>
          <w:sz w:val="28"/>
          <w:szCs w:val="28"/>
        </w:rPr>
        <w:drawing>
          <wp:anchor distT="0" distB="0" distL="114300" distR="114300" simplePos="0" relativeHeight="251660288" behindDoc="1" locked="0" layoutInCell="1" allowOverlap="1">
            <wp:simplePos x="0" y="0"/>
            <wp:positionH relativeFrom="column">
              <wp:posOffset>-305435</wp:posOffset>
            </wp:positionH>
            <wp:positionV relativeFrom="paragraph">
              <wp:posOffset>247015</wp:posOffset>
            </wp:positionV>
            <wp:extent cx="6022340" cy="3617595"/>
            <wp:effectExtent l="19050" t="0" r="0" b="0"/>
            <wp:wrapNone/>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rrowheads="true"/>
                    </pic:cNvPicPr>
                  </pic:nvPicPr>
                  <pic:blipFill>
                    <a:blip r:embed="rId6"/>
                    <a:srcRect/>
                    <a:stretch>
                      <a:fillRect/>
                    </a:stretch>
                  </pic:blipFill>
                  <pic:spPr>
                    <a:xfrm>
                      <a:off x="0" y="0"/>
                      <a:ext cx="6022340" cy="3617595"/>
                    </a:xfrm>
                    <a:prstGeom prst="rect">
                      <a:avLst/>
                    </a:prstGeom>
                    <a:noFill/>
                    <a:ln w="9525">
                      <a:noFill/>
                      <a:miter lim="800000"/>
                      <a:headEnd/>
                      <a:tailEnd/>
                    </a:ln>
                  </pic:spPr>
                </pic:pic>
              </a:graphicData>
            </a:graphic>
          </wp:anchor>
        </w:drawing>
      </w: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p>
    <w:p>
      <w:pPr>
        <w:widowControl/>
        <w:spacing w:line="360" w:lineRule="auto"/>
        <w:ind w:right="-105" w:rightChars="-50"/>
        <w:jc w:val="center"/>
        <w:rPr>
          <w:rFonts w:hint="eastAsia" w:ascii="楷体" w:hAnsi="楷体" w:eastAsia="楷体" w:cs="楷体"/>
          <w:bCs/>
          <w:color w:val="000000"/>
          <w:sz w:val="24"/>
        </w:rPr>
      </w:pPr>
      <w:bookmarkStart w:id="305" w:name="_Toc22743"/>
      <w:bookmarkStart w:id="306" w:name="_Toc5270_WPSOffice_Level3"/>
      <w:bookmarkStart w:id="307" w:name="_Toc24945"/>
    </w:p>
    <w:p>
      <w:pPr>
        <w:widowControl/>
        <w:spacing w:line="360" w:lineRule="auto"/>
        <w:ind w:right="-105" w:rightChars="-50"/>
        <w:jc w:val="center"/>
        <w:rPr>
          <w:rFonts w:hint="eastAsia" w:ascii="楷体" w:hAnsi="楷体" w:eastAsia="楷体" w:cs="楷体"/>
          <w:bCs/>
          <w:color w:val="000000"/>
          <w:sz w:val="24"/>
        </w:rPr>
      </w:pPr>
    </w:p>
    <w:p>
      <w:pPr>
        <w:widowControl/>
        <w:spacing w:line="360" w:lineRule="auto"/>
        <w:ind w:right="-105" w:rightChars="-50"/>
        <w:jc w:val="center"/>
        <w:rPr>
          <w:rFonts w:ascii="楷体" w:hAnsi="楷体" w:eastAsia="楷体" w:cs="楷体"/>
          <w:bCs/>
          <w:color w:val="000000"/>
          <w:sz w:val="24"/>
        </w:rPr>
      </w:pPr>
      <w:r>
        <w:rPr>
          <w:rFonts w:hint="eastAsia" w:ascii="楷体" w:hAnsi="楷体" w:eastAsia="楷体" w:cs="楷体"/>
          <w:bCs/>
          <w:color w:val="000000"/>
          <w:sz w:val="24"/>
        </w:rPr>
        <w:t>图1  马产业总体规划图</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2、马产业功能布局</w:t>
      </w:r>
      <w:bookmarkEnd w:id="305"/>
      <w:bookmarkEnd w:id="306"/>
      <w:bookmarkEnd w:id="307"/>
    </w:p>
    <w:p>
      <w:pPr>
        <w:widowControl/>
        <w:ind w:right="-105" w:rightChars="-50"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如图2所示，我市马产业功能布局为“三大核心”育种体系和“三大功能”马产业主产区。</w:t>
      </w:r>
    </w:p>
    <w:p>
      <w:pPr>
        <w:widowControl/>
        <w:ind w:right="-105" w:rightChars="-50"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打造蒙古马、三河马和大兴安岭马“三大核心”育种体系。以鄂温克旗为核心打造三河马本品种的选育体系，分析现代马产业需求，设定选育三河马乘用型新品系的选育目标，育马赛马齐并进，走“产、学、研”相结合的发展道路；以新巴尔虎左旗为核心打造蒙古马种群的保种体系，制定实施育种计划，建设完善选育体系，牵手市场创造效益，振兴蒙古马产业；以牙克石市为核心打造大兴安岭马新品系选育体系，扩大育种规模，明确育种方向，大兴安岭马新品系育种方向为休闲骑乘用、体育竞技马。带动周围牧民对马进行繁育和改良，服务牧区，为马产业升级改造奠定基础。</w:t>
      </w:r>
    </w:p>
    <w:p>
      <w:pPr>
        <w:widowControl/>
        <w:ind w:right="-105" w:rightChars="-50" w:firstLine="640" w:firstLineChars="200"/>
        <w:rPr>
          <w:rFonts w:ascii="楷体" w:hAnsi="楷体" w:eastAsia="楷体" w:cs="楷体"/>
          <w:sz w:val="28"/>
          <w:szCs w:val="28"/>
        </w:rPr>
      </w:pPr>
      <w:r>
        <w:rPr>
          <w:rFonts w:hint="eastAsia" w:ascii="仿宋_GB2312" w:hAnsi="仿宋_GB2312" w:eastAsia="仿宋_GB2312" w:cs="仿宋_GB2312"/>
          <w:color w:val="000000"/>
          <w:sz w:val="32"/>
          <w:szCs w:val="32"/>
        </w:rPr>
        <w:t>以休闲骑乘旅游产品、马产品和马术赛事“三大功能”打造马产业主产区。陈巴尔虎旗、额尔古纳市、牙克石市、根河市、鄂伦春旗以发展休闲骑乘为主，结合各地地形、地貌打造林区、草原、湖泊休闲骑乘旅游区域，为游客提供高质量的旅游产品和服务；阿荣旗以发展马产品开发为主，重点扶持龙头企业，</w:t>
      </w:r>
      <w:r>
        <w:rPr>
          <w:rFonts w:hint="eastAsia" w:ascii="仿宋_GB2312" w:hAnsi="仿宋_GB2312" w:eastAsia="仿宋_GB2312" w:cs="仿宋_GB2312"/>
          <w:sz w:val="32"/>
          <w:szCs w:val="32"/>
        </w:rPr>
        <w:t>整合现有的一切资源，发挥优势，实行马产业的品牌战略，建立现代市场化运作模式的生产区域；扎兰屯市以建设运动马福利院和发展运动马、高端马的培育为主；</w:t>
      </w:r>
      <w:r>
        <w:rPr>
          <w:rFonts w:hint="eastAsia" w:ascii="仿宋_GB2312" w:hAnsi="仿宋_GB2312" w:eastAsia="仿宋_GB2312" w:cs="仿宋_GB2312"/>
          <w:color w:val="000000"/>
          <w:sz w:val="32"/>
          <w:szCs w:val="32"/>
        </w:rPr>
        <w:t>莫旗和鄂温克旗以发展马术赛事活动为主，提高马术赛事商业化水平，</w:t>
      </w:r>
      <w:r>
        <w:rPr>
          <w:rFonts w:hint="eastAsia" w:ascii="仿宋_GB2312" w:hAnsi="仿宋_GB2312" w:eastAsia="仿宋_GB2312" w:cs="仿宋_GB2312"/>
          <w:sz w:val="32"/>
          <w:szCs w:val="32"/>
        </w:rPr>
        <w:t>结合国际国内品牌赛马赛事或马术运动，形成集运动马驯养与管理教学、科研、培训、竞技赛马及马术运动为一体的马术赛事区域。</w:t>
      </w:r>
    </w:p>
    <w:p>
      <w:pPr>
        <w:widowControl/>
        <w:spacing w:line="360" w:lineRule="auto"/>
        <w:ind w:right="-105" w:rightChars="-50" w:firstLine="420" w:firstLineChars="200"/>
        <w:jc w:val="left"/>
        <w:rPr>
          <w:rFonts w:ascii="楷体" w:hAnsi="楷体" w:eastAsia="楷体" w:cs="楷体"/>
          <w:sz w:val="28"/>
          <w:szCs w:val="28"/>
        </w:rPr>
      </w:pPr>
      <w:r>
        <w:drawing>
          <wp:inline distT="0" distB="0" distL="0" distR="0">
            <wp:extent cx="5276850" cy="4457700"/>
            <wp:effectExtent l="19050" t="0" r="0" b="0"/>
            <wp:docPr id="1" name="图片 3"/>
            <wp:cNvGraphicFramePr/>
            <a:graphic xmlns:a="http://schemas.openxmlformats.org/drawingml/2006/main">
              <a:graphicData uri="http://schemas.openxmlformats.org/drawingml/2006/picture">
                <pic:pic xmlns:pic="http://schemas.openxmlformats.org/drawingml/2006/picture">
                  <pic:nvPicPr>
                    <pic:cNvPr id="1" name="图片 3"/>
                    <pic:cNvPicPr>
                      <a:picLocks noChangeArrowheads="true"/>
                    </pic:cNvPicPr>
                  </pic:nvPicPr>
                  <pic:blipFill>
                    <a:blip r:embed="rId7"/>
                    <a:srcRect/>
                    <a:stretch>
                      <a:fillRect/>
                    </a:stretch>
                  </pic:blipFill>
                  <pic:spPr>
                    <a:xfrm>
                      <a:off x="0" y="0"/>
                      <a:ext cx="5276850" cy="4457700"/>
                    </a:xfrm>
                    <a:prstGeom prst="rect">
                      <a:avLst/>
                    </a:prstGeom>
                    <a:noFill/>
                    <a:ln w="9525">
                      <a:noFill/>
                      <a:miter lim="800000"/>
                      <a:headEnd/>
                      <a:tailEnd/>
                    </a:ln>
                  </pic:spPr>
                </pic:pic>
              </a:graphicData>
            </a:graphic>
          </wp:inline>
        </w:drawing>
      </w:r>
    </w:p>
    <w:p>
      <w:pPr>
        <w:jc w:val="center"/>
        <w:rPr>
          <w:rFonts w:ascii="楷体" w:hAnsi="楷体" w:eastAsia="楷体" w:cs="楷体"/>
          <w:szCs w:val="21"/>
        </w:rPr>
      </w:pPr>
      <w:bookmarkStart w:id="308" w:name="_Toc32397"/>
      <w:bookmarkStart w:id="309" w:name="_Toc17644_WPSOffice_Level1"/>
      <w:bookmarkStart w:id="310" w:name="_Toc23323"/>
      <w:bookmarkStart w:id="311" w:name="_Toc1948_WPSOffice_Level1"/>
      <w:bookmarkStart w:id="312" w:name="_Toc734_WPSOffice_Level1"/>
      <w:r>
        <w:rPr>
          <w:rFonts w:hint="eastAsia" w:ascii="楷体" w:hAnsi="楷体" w:eastAsia="楷体" w:cs="楷体"/>
          <w:color w:val="000000"/>
          <w:spacing w:val="-6"/>
          <w:szCs w:val="21"/>
        </w:rPr>
        <w:t>示例：</w:t>
      </w:r>
      <w:r>
        <w:rPr>
          <w:rFonts w:ascii="Calibri" w:hAnsi="Calibri" w:eastAsia="楷体" w:cs="Calibri"/>
          <w:color w:val="000000"/>
          <w:spacing w:val="-6"/>
          <w:szCs w:val="21"/>
        </w:rPr>
        <w:t>❶❷❸❹</w:t>
      </w:r>
      <w:r>
        <w:rPr>
          <w:rFonts w:hint="eastAsia" w:ascii="Calibri" w:hAnsi="Calibri" w:eastAsia="楷体" w:cs="Calibri"/>
          <w:color w:val="000000"/>
          <w:spacing w:val="-6"/>
          <w:szCs w:val="21"/>
        </w:rPr>
        <w:t>分别表示竞技体育区域、核心繁育基地、休闲骑乘区域、马产品生产区域。</w:t>
      </w:r>
    </w:p>
    <w:p>
      <w:pPr>
        <w:widowControl/>
        <w:spacing w:line="360" w:lineRule="auto"/>
        <w:ind w:right="-105" w:rightChars="-50" w:firstLine="480" w:firstLineChars="200"/>
        <w:jc w:val="center"/>
        <w:rPr>
          <w:rFonts w:hint="eastAsia" w:ascii="楷体" w:hAnsi="楷体" w:eastAsia="楷体" w:cs="楷体"/>
          <w:bCs/>
          <w:color w:val="000000"/>
          <w:sz w:val="24"/>
        </w:rPr>
      </w:pPr>
    </w:p>
    <w:p>
      <w:pPr>
        <w:widowControl/>
        <w:spacing w:line="360" w:lineRule="auto"/>
        <w:ind w:right="-105" w:rightChars="-50" w:firstLine="480" w:firstLineChars="200"/>
        <w:jc w:val="center"/>
        <w:rPr>
          <w:rFonts w:ascii="楷体" w:hAnsi="楷体" w:eastAsia="楷体" w:cs="楷体"/>
          <w:bCs/>
          <w:color w:val="000000"/>
          <w:sz w:val="24"/>
        </w:rPr>
      </w:pPr>
      <w:r>
        <w:rPr>
          <w:rFonts w:hint="eastAsia" w:ascii="楷体" w:hAnsi="楷体" w:eastAsia="楷体" w:cs="楷体"/>
          <w:bCs/>
          <w:color w:val="000000"/>
          <w:sz w:val="24"/>
        </w:rPr>
        <w:t>图2  产业功能布局图</w:t>
      </w:r>
    </w:p>
    <w:p>
      <w:pPr>
        <w:ind w:firstLine="640" w:firstLineChars="200"/>
        <w:rPr>
          <w:rFonts w:hint="eastAsia" w:ascii="仿宋_GB2312" w:hAnsi="仿宋_GB2312" w:eastAsia="仿宋_GB2312" w:cs="仿宋_GB2312"/>
          <w:sz w:val="32"/>
          <w:szCs w:val="32"/>
        </w:rPr>
      </w:pPr>
      <w:bookmarkStart w:id="313" w:name="_Toc16295"/>
      <w:bookmarkStart w:id="314" w:name="_Toc24246"/>
      <w:bookmarkStart w:id="315" w:name="_Toc8147_WPSOffice_Level3"/>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3、马产业基础及服务设施</w:t>
      </w:r>
      <w:bookmarkEnd w:id="313"/>
      <w:bookmarkEnd w:id="314"/>
      <w:bookmarkEnd w:id="315"/>
    </w:p>
    <w:p>
      <w:pPr>
        <w:tabs>
          <w:tab w:val="left" w:pos="2095"/>
        </w:tabs>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如图3所示，根据马产业整体规划和功能布局，不断地完善马产业基础及服务设施配套。</w:t>
      </w:r>
    </w:p>
    <w:p>
      <w:pPr>
        <w:tabs>
          <w:tab w:val="left" w:pos="2095"/>
        </w:tabs>
        <w:ind w:firstLine="616" w:firstLineChars="200"/>
        <w:rPr>
          <w:rFonts w:hint="eastAsia" w:ascii="仿宋_GB2312" w:hAnsi="仿宋_GB2312" w:eastAsia="仿宋_GB2312" w:cs="仿宋_GB2312"/>
          <w:color w:val="000000"/>
          <w:spacing w:val="-6"/>
          <w:sz w:val="32"/>
          <w:szCs w:val="32"/>
        </w:rPr>
      </w:pPr>
      <w:r>
        <w:rPr>
          <w:rFonts w:hint="eastAsia" w:ascii="仿宋_GB2312" w:hAnsi="仿宋_GB2312" w:eastAsia="仿宋_GB2312" w:cs="仿宋_GB2312"/>
          <w:color w:val="000000"/>
          <w:spacing w:val="-6"/>
          <w:sz w:val="32"/>
          <w:szCs w:val="32"/>
        </w:rPr>
        <w:t>（1）“三大核心”种群繁育基地的马产业基础及服务设施</w:t>
      </w:r>
    </w:p>
    <w:p>
      <w:pPr>
        <w:tabs>
          <w:tab w:val="left" w:pos="2095"/>
        </w:tabs>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大核心”种群繁育基地应分别建设蒙古马、三河马和大兴安岭马地方品种遗传资源的保护中心，完善良种繁育场，建立专用马性能测试中心，为各类经营主体提供不同用途马、马产业发展所需的技术支持和服务。重点围绕改良（冷鲜精、冷冻精液及人工授精技术）、育种、繁殖、饲养、护理、调教、驯马、骑师、教练、兽医、马匹交易等安排马产业基础及配套服务设施。巩固和提高马业（马术）研究院（中心），设置马种质研究实验室、冷冻精液实验室、胚胎移植实验室、采精大厅、质量检测实验室、育种数据档案室、技术培训厅等马产业基础及服务设施。建立健全马文化博物馆，加强设施管理、配套服务及网点管理。</w:t>
      </w:r>
    </w:p>
    <w:p>
      <w:pPr>
        <w:tabs>
          <w:tab w:val="left" w:pos="2095"/>
        </w:tabs>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（2）“三大功能”主产区的马产业基础及服务设施</w:t>
      </w:r>
    </w:p>
    <w:p>
      <w:pPr>
        <w:tabs>
          <w:tab w:val="left" w:pos="2095"/>
        </w:tabs>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休闲骑乘旅游区域。根据林区、草原、湖泊等139个旅游路线，利用现有的公路，进行改造，形成非机动车道，从而形成骑马、骑行、轮滑、散步等绿道。通过建设驿站及其他服务设施完善相关保障体系，为游客提供休闲骑乘、餐饮、购物、休息等服务。建设休闲骑乘用马匹交易市场，为游客提供租赁、买卖等服务。</w:t>
      </w:r>
    </w:p>
    <w:p>
      <w:pPr>
        <w:tabs>
          <w:tab w:val="left" w:pos="2095"/>
        </w:tabs>
        <w:spacing w:line="52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——生产区域。建立马产品及其副产品精深加工企业，开发生产高质量的马肉食品、马乳制品和马生物制品，皮、毛、血、骨、脏器等精深加工副产品。建立马产品及其副产品、产品用马匹线上线下交易平台。</w:t>
      </w:r>
    </w:p>
    <w:p>
      <w:pPr>
        <w:tabs>
          <w:tab w:val="left" w:pos="2095"/>
        </w:tabs>
        <w:spacing w:line="520" w:lineRule="exact"/>
        <w:ind w:firstLine="640" w:firstLineChars="200"/>
        <w:rPr>
          <w:rFonts w:ascii="楷体" w:hAnsi="楷体" w:eastAsia="楷体" w:cs="楷体"/>
          <w:color w:val="000000"/>
          <w:sz w:val="28"/>
          <w:szCs w:val="28"/>
        </w:rPr>
      </w:pP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马竞技体育区域。以鄂温克旗内蒙古自治区民族体育运动中心为核心，在牙克石和满洲里为两翼，各建设一个中型赛马场。在牧区四旗等建设若干小型赛马场。形成一个中心，两个侧翼，若干个点的比赛格局。通过赛马赛事、举办展览（卖）会、论坛等形式，促进</w:t>
      </w:r>
      <w:r>
        <w:rPr>
          <w:rFonts w:hint="eastAsia" w:ascii="仿宋_GB2312" w:hAnsi="仿宋_GB2312" w:eastAsia="仿宋_GB2312" w:cs="仿宋_GB2312"/>
          <w:color w:val="000000"/>
          <w:sz w:val="32"/>
          <w:szCs w:val="32"/>
        </w:rPr>
        <w:t>马上竞技、速度赛马、各类马术、骑术训练、运动服务及彩票管理、广告发布等</w:t>
      </w:r>
      <w:r>
        <w:rPr>
          <w:rFonts w:hint="eastAsia" w:ascii="仿宋_GB2312" w:hAnsi="仿宋_GB2312" w:eastAsia="仿宋_GB2312" w:cs="仿宋_GB2312"/>
          <w:sz w:val="32"/>
          <w:szCs w:val="32"/>
        </w:rPr>
        <w:t>马竞技体育</w:t>
      </w:r>
      <w:r>
        <w:rPr>
          <w:rFonts w:hint="eastAsia" w:ascii="仿宋_GB2312" w:hAnsi="仿宋_GB2312" w:eastAsia="仿宋_GB2312" w:cs="仿宋_GB2312"/>
          <w:color w:val="000000"/>
          <w:sz w:val="32"/>
          <w:szCs w:val="32"/>
        </w:rPr>
        <w:t>的发展。</w:t>
      </w:r>
    </w:p>
    <w:p>
      <w:pPr>
        <w:ind w:left="1260" w:hanging="1260"/>
        <w:rPr>
          <w:rFonts w:ascii="Calibri" w:hAnsi="Calibri" w:cs="宋体"/>
        </w:rPr>
      </w:pPr>
      <w:r>
        <w:rPr>
          <w:rFonts w:ascii="Calibri" w:hAnsi="Calibri" w:cs="宋体"/>
        </w:rPr>
        <w:pict>
          <v:shape id="1028" o:spid="_x0000_s1027" style="position:absolute;left:0pt;margin-left:33.15pt;margin-top:266.35pt;height:108pt;width:24.9pt;z-index:251661312;mso-width-relative:page;mso-height-relative:page;" filled="f" stroked="t" coordsize="316167,1371600" path="m87567,0c85027,35560,85662,129540,68517,190500c51372,251460,-11493,201930,1842,304800c15177,407670,114237,596265,135192,704850c156147,813435,119952,784860,106617,847725c93282,910590,60897,952500,68517,1019175c76137,1085850,95187,1110615,144717,1181100c194247,1251585,283147,1336675,316167,1371600e">
            <v:path arrowok="t"/>
            <v:fill on="f" focussize="0,0"/>
            <v:stroke weight="1pt" color="#41719C" dashstyle="3 1"/>
            <v:imagedata o:title=""/>
            <o:lock v:ext="edit"/>
          </v:shape>
        </w:pict>
      </w:r>
      <w:r>
        <w:rPr>
          <w:rFonts w:ascii="Calibri" w:hAnsi="Calibri" w:cs="宋体"/>
        </w:rPr>
        <w:pict>
          <v:shape id="1029" o:spid="_x0000_s1028" style="position:absolute;left:0pt;margin-left:83.55pt;margin-top:303.75pt;height:11.45pt;width:97.5pt;z-index:251662336;mso-width-relative:page;mso-height-relative:page;" filled="f" stroked="t" coordsize="1238250,145198" path="m0,144221c40005,142951,127635,153746,228600,125171c329565,96596,390525,12776,504825,1346c619125,-10084,691515,54686,800100,68021c908685,81356,960120,79451,1047750,68021c1135380,56591,1205230,22301,1238250,10871e">
            <v:path arrowok="t"/>
            <v:fill on="f" focussize="0,0"/>
            <v:stroke weight="1pt" color="#41719C" dashstyle="3 1"/>
            <v:imagedata o:title=""/>
            <o:lock v:ext="edit"/>
          </v:shape>
        </w:pict>
      </w:r>
      <w:r>
        <w:rPr>
          <w:rFonts w:ascii="Calibri" w:hAnsi="Calibri" w:cs="宋体"/>
        </w:rPr>
        <w:pict>
          <v:shape id="1030" o:spid="_x0000_s1029" style="position:absolute;left:0pt;margin-left:67pt;margin-top:255.1pt;height:131.25pt;width:91.5pt;z-index:251663360;mso-width-relative:page;mso-height-relative:page;" filled="f" stroked="t" coordsize="1162050,1666875" path="m0,0c7620,21590,30480,70485,38100,123825c45720,177165,40005,196215,38100,266700c36195,337185,11430,396240,28575,476250c45720,556260,87630,607695,123825,666750c160020,725805,190500,702945,209550,771525c228600,840105,154305,889635,219075,1009650c283845,1129665,464820,1297305,533400,1371600c601980,1445895,501015,1360170,561975,1381125c622935,1402080,748665,1464945,838200,1476375c927735,1487805,944880,1400175,1009650,1438275c1074420,1476375,1134745,1620520,1162050,1666875e">
            <v:path arrowok="t"/>
            <v:fill on="f" focussize="0,0"/>
            <v:stroke weight="1pt" color="#41719C" dashstyle="3 1"/>
            <v:imagedata o:title=""/>
            <o:lock v:ext="edit"/>
          </v:shape>
        </w:pict>
      </w:r>
      <w:r>
        <w:rPr>
          <w:rFonts w:ascii="Calibri" w:hAnsi="Calibri" w:cs="宋体"/>
        </w:rPr>
        <w:pict>
          <v:shape id="1031" o:spid="_x0000_s1030" style="position:absolute;left:0pt;flip:y;margin-left:93.4pt;margin-top:234.95pt;height:6pt;width:93.6pt;z-index:251664384;mso-width-relative:page;mso-height-relative:page;" filled="f" stroked="t" coordsize="1056037,86193" path="m17812,28855c14002,28855,-20288,26950,17812,28855c55912,30760,137827,44095,208312,38380c278797,32665,316897,-3530,370237,280c423577,4090,417862,51715,475012,57430c532162,63145,600742,23140,655987,28855c711232,34570,694087,89815,751237,86005c808387,82195,880777,11710,941737,9805c1002697,7900,1036987,61875,1056037,76480e">
            <v:path arrowok="t"/>
            <v:fill on="f" focussize="0,0"/>
            <v:stroke weight="1pt" color="#41719C" dashstyle="3 1"/>
            <v:imagedata o:title=""/>
            <o:lock v:ext="edit"/>
          </v:shape>
        </w:pict>
      </w:r>
      <w:r>
        <w:rPr>
          <w:rFonts w:ascii="Calibri" w:hAnsi="Calibri" w:cs="宋体"/>
        </w:rPr>
        <w:pict>
          <v:shape id="1032" o:spid="_x0000_s1031" style="position:absolute;left:0pt;margin-left:161.55pt;margin-top:203.35pt;height:185.25pt;width:45.15pt;z-index:251665408;mso-width-relative:page;mso-height-relative:page;" filled="f" stroked="t" coordsize="573488,2352675" path="m295275,0c311150,31750,361950,80010,371475,200025c381000,320040,350520,510540,342900,600075c335280,689610,323850,581025,333375,647700c342900,714375,409575,845820,390525,933450c371475,1021080,236220,920115,238125,1085850c240030,1251585,337185,1611630,400050,1762125c462915,1912620,632460,1720215,552450,1838325c472440,1956435,113665,2251075,0,2352675e">
            <v:path arrowok="t"/>
            <v:fill on="f" focussize="0,0"/>
            <v:stroke weight="1pt" color="#41719C" dashstyle="3 1"/>
            <v:imagedata o:title=""/>
            <o:lock v:ext="edit"/>
          </v:shape>
        </w:pict>
      </w:r>
      <w:r>
        <w:rPr>
          <w:rFonts w:ascii="Calibri" w:hAnsi="Calibri" w:cs="宋体"/>
        </w:rPr>
        <w:pict>
          <v:shape id="1033" o:spid="_x0000_s1032" style="position:absolute;left:0pt;margin-left:174.3pt;margin-top:329.35pt;height:59.25pt;width:98.25pt;z-index:251666432;mso-width-relative:page;mso-height-relative:page;" filled="f" stroked="t" coordsize="1247775,752475" path="m1247775,0c1240155,30480,1251585,108585,1181100,161925c1110615,215265,998220,201930,895350,266700c792480,331470,845820,388620,666750,485775c487680,582930,128905,703580,0,752475e">
            <v:path arrowok="t"/>
            <v:fill on="f" focussize="0,0"/>
            <v:stroke weight="1pt" color="#41719C" dashstyle="3 1"/>
            <v:imagedata o:title=""/>
            <o:lock v:ext="edit"/>
          </v:shape>
        </w:pict>
      </w:r>
      <w:r>
        <w:rPr>
          <w:rFonts w:ascii="Calibri" w:hAnsi="Calibri" w:cs="宋体"/>
        </w:rPr>
        <w:pict>
          <v:shape id="1034" o:spid="_x0000_s1033" style="position:absolute;left:0pt;margin-left:184.05pt;margin-top:202.7pt;height:0.65pt;width:0.05pt;z-index:251667456;mso-width-relative:page;mso-height-relative:page;" filled="f" stroked="t" coordsize="1,8467" path="m0,8467c0,8467,0,-10583,0,8467xe">
            <v:path arrowok="t"/>
            <v:fill on="f" focussize="0,0"/>
            <v:stroke weight="1pt" color="#41719C"/>
            <v:imagedata o:title=""/>
            <o:lock v:ext="edit"/>
          </v:shape>
        </w:pict>
      </w:r>
      <w:r>
        <w:rPr>
          <w:rFonts w:ascii="Calibri" w:hAnsi="Calibri" w:cs="宋体"/>
        </w:rPr>
        <w:pict>
          <v:shape id="1035" o:spid="_x0000_s1034" style="position:absolute;left:0pt;margin-left:340.05pt;margin-top:224.9pt;height:78.2pt;width:87.75pt;z-index:251668480;mso-width-relative:page;mso-height-relative:page;" filled="f" stroked="t" coordsize="1114425,992981" path="m1114425,2381c1064260,2381,920115,-7144,857250,11906c794385,30956,832485,69056,800100,97631c767715,126206,733425,126206,695325,154781c657225,183356,641985,200501,609600,240506c577215,280511,573405,320516,533400,354806c493395,389096,445770,377666,409575,411956c373380,446246,361950,480536,352425,526256c342900,571976,400050,594836,361950,640556c323850,686276,205740,712946,161925,754856c118110,796766,175260,802481,142875,850106c110490,897731,27940,966311,0,992981e">
            <v:path arrowok="t"/>
            <v:fill on="f" focussize="0,0"/>
            <v:stroke weight="1pt" color="#41719C" dashstyle="3 1"/>
            <v:imagedata o:title=""/>
            <o:lock v:ext="edit"/>
          </v:shape>
        </w:pict>
      </w:r>
      <w:r>
        <w:rPr>
          <w:rFonts w:ascii="Calibri" w:hAnsi="Calibri" w:cs="宋体"/>
        </w:rPr>
        <w:pict>
          <v:shape id="1036" o:spid="_x0000_s1035" style="position:absolute;left:0pt;margin-left:253.05pt;margin-top:288pt;height:66.05pt;width:96pt;z-index:251669504;mso-width-relative:page;mso-height-relative:page;" filled="f" stroked="t" coordsize="1219200,838790" path="m0,210140c33020,213950,116205,236810,180975,219665c245745,202520,260985,143465,323850,124415c386715,105365,403860,149180,495300,124415c586740,99650,664845,-8935,781050,590c897255,10115,1013460,128225,1076325,172040c1139190,215855,1089660,166325,1095375,219665c1101090,273005,1080135,314915,1104900,438740c1129665,562565,1196340,763225,1219200,838790e">
            <v:path arrowok="t"/>
            <v:fill on="f" focussize="0,0"/>
            <v:stroke weight="1pt" color="#41719C" dashstyle="3 1"/>
            <v:imagedata o:title=""/>
            <o:lock v:ext="edit"/>
          </v:shape>
        </w:pict>
      </w:r>
      <w:r>
        <w:rPr>
          <w:rFonts w:ascii="Calibri" w:hAnsi="Calibri" w:cs="宋体"/>
        </w:rPr>
        <w:pict>
          <v:shape id="1037" o:spid="_x0000_s1036" style="position:absolute;left:0pt;margin-left:243.8pt;margin-top:174.9pt;height:194.2pt;width:54.25pt;z-index:251670528;mso-width-relative:page;mso-height-relative:page;" filled="f" stroked="t" coordsize="688960,2466356" path="m431785,8906c433055,7001,443215,-10144,431785,8906c420355,27956,378445,66056,374635,104156c370825,142256,414640,153686,412735,199406c410830,245126,408925,304181,365110,332756c321295,361331,231760,281321,193660,342281c155560,403241,140320,572786,174610,637556c208900,702326,347965,593741,365110,666131c382255,738521,332725,917591,260335,999506c187945,1081421,26020,930926,3160,1075706c-19700,1220486,86980,1550051,146035,1723406c205090,1896761,227950,1896761,298435,1942481c368920,1988201,445120,1927241,498460,1952006c551800,1976771,527035,1963436,565135,2066306c603235,2169176,665465,2388886,688960,2466356e">
            <v:path arrowok="t"/>
            <v:fill on="f" focussize="0,0"/>
            <v:stroke weight="1pt" color="#41719C" dashstyle="3 1"/>
            <v:imagedata o:title=""/>
            <o:lock v:ext="edit"/>
          </v:shape>
        </w:pict>
      </w:r>
      <w:r>
        <w:rPr>
          <w:rFonts w:ascii="Calibri" w:hAnsi="Calibri" w:cs="宋体"/>
        </w:rPr>
        <w:pict>
          <v:shape id="1038" o:spid="_x0000_s1037" style="position:absolute;left:0pt;margin-left:154.75pt;margin-top:50.35pt;height:153pt;width:151.8pt;z-index:251671552;mso-width-relative:page;mso-height-relative:page;" filled="f" stroked="t" coordsize="1927789,1943140" path="m1200646,0c1179691,30480,1116826,120015,1095871,152400c1074916,184785,1084441,135255,1095871,161925c1107301,188595,1267321,66675,1153021,285750c1038721,504825,724396,1068705,524371,1257300c324346,1445895,257671,1188720,152896,1228725c48121,1268730,6211,1386840,496,1457325c-5219,1527810,38596,1483995,124321,1581150c210046,1678305,170041,1946910,429121,1943100c688201,1939290,1187311,1632585,1419721,1562100c1652131,1491615,1524496,1586865,1591171,1590675c1657846,1594485,1734046,1602105,1753096,1581150c1772146,1560195,1657846,1604010,1686421,1485900c1714996,1367790,1848346,1093470,1895971,990600c1943596,887730,1923276,965200,1924546,971550e">
            <v:path arrowok="t"/>
            <v:fill on="f" focussize="0,0"/>
            <v:stroke weight="1pt" color="#41719C" dashstyle="longDash"/>
            <v:imagedata o:title=""/>
            <o:lock v:ext="edit"/>
          </v:shape>
        </w:pict>
      </w:r>
      <w:r>
        <w:rPr>
          <w:rFonts w:ascii="Calibri" w:hAnsi="Calibri" w:cs="宋体"/>
        </w:rPr>
        <w:pict>
          <v:shape id="1039" o:spid="_x0000_s1038" style="position:absolute;left:0pt;margin-left:152.55pt;margin-top:27.85pt;height:372.2pt;width:295.2pt;z-index:251672576;mso-width-relative:page;mso-height-relative:page;" filled="f" stroked="t" coordsize="3749263,4726796" path="m0,4676775c31115,4645025,83820,4531995,190500,4533900c297180,4535805,401955,4652010,533400,4686300c664845,4720590,638175,4747260,847725,4705350c1057275,4663440,1266825,4592955,1581150,4476750c1895475,4360545,2200275,4139565,2419350,4124325c2638425,4109085,2600325,4413885,2676525,4400550c2752725,4387215,2693670,4305300,2800350,4057650c2907030,3810000,3107055,3337560,3209925,3162300c3312795,2987040,3248025,3248025,3314700,3181350c3381375,3114675,3514725,2918460,3543300,2828925c3571875,2739390,3467100,2769870,3457575,2733675c3448050,2697480,3469005,2842260,3495675,2647950c3522345,2453640,3541395,1985010,3590925,1762125c3640455,1539240,3779520,1703070,3743325,1533525c3707130,1363980,3509010,1028700,3409950,914400c3310890,800100,3280410,952500,3248025,962025c3215640,971550,3291840,899160,3248025,962025c3204210,1024890,3314700,1226820,3028950,1276350c2743200,1325880,2106930,1356360,1819275,1209675c1531620,1062990,1596390,704850,1590675,542925c1584960,381000,1781175,449580,1790700,400050c1800225,350520,1674495,352425,1638300,295275c1602105,238125,1678305,116205,1609725,114300c1541145,112395,1436370,274320,1295400,285750c1154430,297180,902970,228600,904875,171450c906780,114300,1217295,31750,1304925,0e">
            <v:path arrowok="t"/>
            <v:fill on="f" focussize="0,0"/>
            <v:stroke weight="2.25pt" color="#41719C" dashstyle="3 1"/>
            <v:imagedata o:title=""/>
            <o:lock v:ext="edit"/>
          </v:shape>
        </w:pict>
      </w:r>
      <w:r>
        <w:rPr>
          <w:rFonts w:ascii="Calibri" w:hAnsi="Calibri" w:cs="宋体"/>
        </w:rPr>
        <w:pict>
          <v:shape id="1040" o:spid="_x0000_s1039" style="position:absolute;left:0pt;margin-left:-55.55pt;margin-top:30.85pt;height:363.75pt;width:231.35pt;z-index:251673600;mso-width-relative:page;mso-height-relative:page;" filled="f" stroked="t" coordsize="2937994,4619625" path="m2690435,0c2685990,46990,2648525,173355,2690435,247650c2732345,321945,2856170,287655,2899985,371475c2943800,455295,2953325,567690,2909510,666750c2865695,765810,2877125,544830,2680910,866775c2484695,1188720,2077025,1933575,1928435,2276475c1779845,2619375,2075120,2438400,1937960,2581275c1800800,2724150,1490285,2948940,1242635,2990850c994985,3032760,943550,2566035,699710,2790825c455870,3015615,112970,3787140,23435,4114800c-66100,4442460,120590,4383405,252035,4429125c383480,4474845,532070,4311015,680660,4343400c829250,4375785,874970,4581525,994985,4591050c1115000,4600575,1120715,4434840,1280735,4391025c1440755,4347210,1621730,4326255,1795085,4371975c1968440,4417695,2087185,4569460,2147510,4619625e">
            <v:path arrowok="t"/>
            <v:fill on="f" focussize="0,0"/>
            <v:stroke weight="2.25pt" color="#41719C" dashstyle="3 1"/>
            <v:imagedata o:title=""/>
            <o:lock v:ext="edit"/>
          </v:shape>
        </w:pict>
      </w:r>
    </w:p>
    <w:p>
      <w:pPr>
        <w:ind w:left="1260" w:hanging="1260"/>
        <w:rPr>
          <w:rFonts w:ascii="Calibri" w:hAnsi="Calibri" w:cs="宋体"/>
        </w:rPr>
      </w:pPr>
      <w:r>
        <w:rPr>
          <w:rFonts w:ascii="Calibri" w:hAnsi="Calibri" w:cs="宋体"/>
        </w:rPr>
        <w:drawing>
          <wp:anchor distT="0" distB="0" distL="114300" distR="114300" simplePos="0" relativeHeight="251674624" behindDoc="0" locked="0" layoutInCell="1" allowOverlap="1">
            <wp:simplePos x="0" y="0"/>
            <wp:positionH relativeFrom="column">
              <wp:posOffset>47625</wp:posOffset>
            </wp:positionH>
            <wp:positionV relativeFrom="paragraph">
              <wp:posOffset>6350</wp:posOffset>
            </wp:positionV>
            <wp:extent cx="722630" cy="734060"/>
            <wp:effectExtent l="19050" t="0" r="1270" b="0"/>
            <wp:wrapNone/>
            <wp:docPr id="16" name="图片 85"/>
            <wp:cNvGraphicFramePr/>
            <a:graphic xmlns:a="http://schemas.openxmlformats.org/drawingml/2006/main">
              <a:graphicData uri="http://schemas.openxmlformats.org/drawingml/2006/picture">
                <pic:pic xmlns:pic="http://schemas.openxmlformats.org/drawingml/2006/picture">
                  <pic:nvPicPr>
                    <pic:cNvPr id="16" name="图片 85"/>
                    <pic:cNvPicPr>
                      <a:picLocks noChangeArrowheads="true"/>
                    </pic:cNvPicPr>
                  </pic:nvPicPr>
                  <pic:blipFill>
                    <a:blip r:embed="rId8"/>
                    <a:srcRect/>
                    <a:stretch>
                      <a:fillRect/>
                    </a:stretch>
                  </pic:blipFill>
                  <pic:spPr>
                    <a:xfrm>
                      <a:off x="0" y="0"/>
                      <a:ext cx="722630" cy="734060"/>
                    </a:xfrm>
                    <a:prstGeom prst="rect">
                      <a:avLst/>
                    </a:prstGeom>
                    <a:noFill/>
                    <a:ln w="9525">
                      <a:noFill/>
                      <a:miter lim="800000"/>
                      <a:headEnd/>
                      <a:tailEnd/>
                    </a:ln>
                  </pic:spPr>
                </pic:pic>
              </a:graphicData>
            </a:graphic>
          </wp:anchor>
        </w:drawing>
      </w: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r>
        <w:rPr>
          <w:rFonts w:ascii="Calibri" w:hAnsi="Calibri" w:cs="宋体"/>
        </w:rPr>
        <w:pict>
          <v:rect id="1042" o:spid="_x0000_s1041" o:spt="1" style="position:absolute;left:0pt;margin-left:222.3pt;margin-top:-0.05pt;height:37.45pt;width:50.3pt;z-index:251675648;mso-width-relative:page;mso-height-relative:page;" stroked="f" coordsize="21600,21600">
            <v:path/>
            <v:fill focussize="0,0"/>
            <v:stroke on="f"/>
            <v:imagedata o:title=""/>
            <o:lock v:ext="edit"/>
            <v:textbox>
              <w:txbxContent>
                <w:p>
                  <w:pPr>
                    <w:rPr>
                      <w:rFonts w:ascii="Calibri" w:hAnsi="Calibri" w:cs="宋体"/>
                    </w:rPr>
                  </w:pPr>
                  <w:r>
                    <w:rPr>
                      <w:rFonts w:hint="eastAsia" w:ascii="Calibri" w:hAnsi="Calibri" w:cs="宋体"/>
                    </w:rPr>
                    <w:t>根河市C、D</w:t>
                  </w:r>
                </w:p>
              </w:txbxContent>
            </v:textbox>
          </v:rect>
        </w:pict>
      </w:r>
    </w:p>
    <w:p>
      <w:pPr>
        <w:ind w:left="1260" w:firstLine="4200" w:firstLineChars="2000"/>
        <w:rPr>
          <w:rFonts w:ascii="Calibri" w:hAnsi="Calibri" w:cs="宋体"/>
        </w:rPr>
      </w:pPr>
      <w:r>
        <w:rPr>
          <w:rFonts w:ascii="Calibri" w:hAnsi="Calibri" w:cs="宋体"/>
        </w:rPr>
        <w:pict>
          <v:rect id="文本框 1035" o:spid="_x0000_s1042" o:spt="1" style="position:absolute;left:0pt;margin-left:65pt;margin-top:7.1pt;height:29.25pt;width:147.15pt;rotation:7532431f;z-index:251676672;mso-width-relative:page;mso-height-relative:page;" stroked="f" coordsize="21600,21600">
            <v:path/>
            <v:fill focussize="0,0"/>
            <v:stroke on="f"/>
            <v:imagedata o:title=""/>
            <o:lock v:ext="edit"/>
            <v:textbox>
              <w:txbxContent>
                <w:p>
                  <w:r>
                    <w:rPr>
                      <w:rFonts w:hint="eastAsia"/>
                    </w:rPr>
                    <w:t>额尔古纳市C、</w:t>
                  </w:r>
                  <w:r>
                    <w:t>D</w:t>
                  </w:r>
                </w:p>
              </w:txbxContent>
            </v:textbox>
          </v:rect>
        </w:pict>
      </w: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r>
        <w:rPr>
          <w:rFonts w:ascii="Calibri" w:hAnsi="Calibri" w:cs="宋体"/>
        </w:rPr>
        <w:pict>
          <v:rect id="1044" o:spid="_x0000_s1043" o:spt="1" style="position:absolute;left:0pt;margin-left:281.95pt;margin-top:13.25pt;height:51.65pt;width:119.2pt;rotation:19922944f;z-index:251677696;mso-width-relative:page;mso-height-relative:page;" stroked="f" coordsize="21600,21600">
            <v:path/>
            <v:fill focussize="0,0"/>
            <v:stroke on="f"/>
            <v:imagedata o:title=""/>
            <o:lock v:ext="edit"/>
            <v:textbox>
              <w:txbxContent>
                <w:p>
                  <w:pPr>
                    <w:rPr>
                      <w:rFonts w:ascii="宋体" w:hAnsi="宋体" w:cs="宋体"/>
                      <w:szCs w:val="21"/>
                    </w:rPr>
                  </w:pPr>
                  <w:r>
                    <w:rPr>
                      <w:rFonts w:hint="eastAsia" w:ascii="宋体" w:hAnsi="宋体" w:cs="宋体"/>
                      <w:szCs w:val="21"/>
                    </w:rPr>
                    <w:t>鄂伦春</w:t>
                  </w:r>
                </w:p>
                <w:p>
                  <w:pPr>
                    <w:rPr>
                      <w:rFonts w:ascii="宋体" w:hAnsi="宋体" w:cs="宋体"/>
                      <w:szCs w:val="21"/>
                    </w:rPr>
                  </w:pPr>
                  <w:r>
                    <w:rPr>
                      <w:rFonts w:hint="eastAsia" w:ascii="宋体" w:hAnsi="宋体" w:cs="宋体"/>
                      <w:szCs w:val="21"/>
                    </w:rPr>
                    <w:t>族自治</w:t>
                  </w:r>
                </w:p>
                <w:p>
                  <w:pPr>
                    <w:rPr>
                      <w:rFonts w:ascii="宋体" w:hAnsi="宋体" w:cs="宋体"/>
                      <w:szCs w:val="21"/>
                    </w:rPr>
                  </w:pPr>
                  <w:r>
                    <w:rPr>
                      <w:rFonts w:hint="eastAsia" w:ascii="宋体" w:hAnsi="宋体" w:cs="宋体"/>
                      <w:szCs w:val="21"/>
                    </w:rPr>
                    <w:t>旗C、D</w:t>
                  </w:r>
                </w:p>
              </w:txbxContent>
            </v:textbox>
          </v:rect>
        </w:pict>
      </w:r>
    </w:p>
    <w:p>
      <w:pPr>
        <w:ind w:left="1260" w:hanging="1260"/>
        <w:rPr>
          <w:rFonts w:ascii="Calibri" w:hAnsi="Calibri" w:cs="宋体"/>
        </w:rPr>
      </w:pPr>
    </w:p>
    <w:p>
      <w:pPr>
        <w:ind w:left="1260" w:hanging="1260"/>
        <w:rPr>
          <w:rFonts w:ascii="Calibri" w:hAnsi="Calibri" w:cs="宋体"/>
        </w:rPr>
      </w:pPr>
    </w:p>
    <w:p>
      <w:pPr>
        <w:ind w:left="1260" w:firstLine="7350" w:firstLineChars="3500"/>
        <w:rPr>
          <w:rFonts w:ascii="Calibri" w:hAnsi="Calibri" w:cs="宋体"/>
        </w:rPr>
      </w:pPr>
    </w:p>
    <w:p>
      <w:pPr>
        <w:ind w:left="1260" w:hanging="1260"/>
        <w:rPr>
          <w:rFonts w:ascii="Calibri" w:hAnsi="Calibri" w:cs="宋体"/>
        </w:rPr>
      </w:pPr>
      <w:r>
        <w:rPr>
          <w:rFonts w:ascii="Calibri" w:hAnsi="Calibri" w:cs="宋体"/>
        </w:rPr>
        <w:pict>
          <v:rect id="1045" o:spid="_x0000_s1044" o:spt="1" style="position:absolute;left:0pt;margin-left:153.05pt;margin-top:5.95pt;height:22.5pt;width:122.9pt;rotation:18350080f;z-index:251678720;mso-width-relative:page;mso-height-relative:page;" stroked="f" coordsize="21600,21600">
            <v:path/>
            <v:fill focussize="0,0"/>
            <v:stroke on="f"/>
            <v:imagedata o:title=""/>
            <o:lock v:ext="edit"/>
            <v:textbox>
              <w:txbxContent>
                <w:p>
                  <w:pPr>
                    <w:rPr>
                      <w:rFonts w:ascii="Calibri" w:hAnsi="Calibri" w:cs="宋体"/>
                    </w:rPr>
                  </w:pPr>
                  <w:r>
                    <w:rPr>
                      <w:rFonts w:hint="eastAsia" w:ascii="Calibri" w:hAnsi="Calibri" w:cs="宋体"/>
                    </w:rPr>
                    <w:t>牙克石市C、D</w:t>
                  </w:r>
                </w:p>
              </w:txbxContent>
            </v:textbox>
          </v:rect>
        </w:pict>
      </w:r>
      <w:r>
        <w:rPr>
          <w:rFonts w:ascii="Calibri" w:hAnsi="Calibri" w:cs="宋体"/>
        </w:rPr>
        <w:pict>
          <v:rect id="1046" o:spid="_x0000_s1045" o:spt="1" style="position:absolute;left:0pt;margin-left:97.75pt;margin-top:5.8pt;height:41.25pt;width:67.95pt;rotation:458752f;z-index:251679744;mso-width-relative:page;mso-height-relative:page;" stroked="f" coordsize="21600,21600">
            <v:path/>
            <v:fill focussize="0,0"/>
            <v:stroke on="f"/>
            <v:imagedata o:title=""/>
            <o:lock v:ext="edit"/>
            <v:textbox>
              <w:txbxContent>
                <w:p>
                  <w:pPr>
                    <w:rPr>
                      <w:rFonts w:ascii="Calibri" w:hAnsi="Calibri" w:cs="宋体"/>
                    </w:rPr>
                  </w:pPr>
                  <w:r>
                    <w:rPr>
                      <w:rFonts w:hint="eastAsia" w:ascii="Calibri" w:hAnsi="Calibri" w:cs="宋体"/>
                    </w:rPr>
                    <w:t>陈巴尔虎旗C、D</w:t>
                  </w:r>
                </w:p>
              </w:txbxContent>
            </v:textbox>
          </v:rect>
        </w:pict>
      </w:r>
    </w:p>
    <w:p>
      <w:pPr>
        <w:ind w:left="1260" w:hanging="1260"/>
        <w:rPr>
          <w:rFonts w:ascii="Calibri" w:hAnsi="Calibri" w:cs="宋体"/>
        </w:rPr>
      </w:pPr>
    </w:p>
    <w:p>
      <w:pPr>
        <w:tabs>
          <w:tab w:val="left" w:pos="3426"/>
        </w:tabs>
        <w:ind w:left="1260" w:hanging="1260"/>
        <w:jc w:val="left"/>
        <w:rPr>
          <w:rFonts w:ascii="Calibri" w:hAnsi="Calibri" w:cs="Calibri"/>
        </w:rPr>
      </w:pPr>
      <w:bookmarkStart w:id="766" w:name="_GoBack"/>
      <w:bookmarkEnd w:id="766"/>
      <w:r>
        <w:rPr>
          <w:rFonts w:ascii="Calibri" w:hAnsi="Calibri" w:cs="宋体"/>
        </w:rPr>
        <w:pict>
          <v:rect id="文本框 1034" o:spid="_x0000_s1046" o:spt="1" style="position:absolute;left:0pt;margin-left:319.95pt;margin-top:4.45pt;height:41.25pt;width:127.1pt;rotation:18661916f;z-index:251680768;mso-width-relative:page;mso-height-relative:page;" stroked="f" coordsize="21600,21600">
            <v:path/>
            <v:fill focussize="0,0"/>
            <v:stroke on="f"/>
            <v:imagedata o:title=""/>
            <o:lock v:ext="edit"/>
            <v:textbox>
              <w:txbxContent>
                <w:p>
                  <w:pPr>
                    <w:rPr>
                      <w:rFonts w:ascii="宋体" w:hAnsi="宋体"/>
                      <w:szCs w:val="21"/>
                    </w:rPr>
                  </w:pPr>
                  <w:r>
                    <w:rPr>
                      <w:rFonts w:hint="eastAsia" w:ascii="宋体" w:hAnsi="宋体"/>
                      <w:szCs w:val="21"/>
                      <w:lang w:eastAsia="zh-CN"/>
                    </w:rPr>
                    <w:t>莫力达瓦达斡尔族自治旗</w:t>
                  </w:r>
                  <w:r>
                    <w:rPr>
                      <w:rFonts w:hint="eastAsia" w:ascii="宋体" w:hAnsi="宋体"/>
                      <w:szCs w:val="21"/>
                    </w:rPr>
                    <w:t>B</w:t>
                  </w:r>
                </w:p>
              </w:txbxContent>
            </v:textbox>
          </v:rect>
        </w:pict>
      </w:r>
      <w:r>
        <w:rPr>
          <w:rFonts w:ascii="Calibri" w:hAnsi="Calibri" w:cs="宋体"/>
        </w:rPr>
        <w:pict>
          <v:rect id="1050" o:spid="_x0000_s1047" o:spt="1" style="position:absolute;left:0pt;margin-left:296.85pt;margin-top:13.25pt;height:67.65pt;width:20.15pt;rotation:1245184f;z-index:251681792;mso-width-relative:page;mso-height-relative:page;" stroked="f" coordsize="21600,21600">
            <v:path/>
            <v:fill focussize="0,0"/>
            <v:stroke on="f"/>
            <v:imagedata o:title=""/>
            <o:lock v:ext="edit"/>
            <v:textbox>
              <w:txbxContent>
                <w:p>
                  <w:pPr>
                    <w:rPr>
                      <w:rFonts w:ascii="Calibri" w:hAnsi="Calibri" w:cs="宋体"/>
                    </w:rPr>
                  </w:pPr>
                  <w:r>
                    <w:rPr>
                      <w:rFonts w:hint="eastAsia" w:ascii="Calibri" w:hAnsi="Calibri" w:cs="宋体"/>
                    </w:rPr>
                    <w:t>阿荣旗C</w:t>
                  </w:r>
                </w:p>
              </w:txbxContent>
            </v:textbox>
          </v:rect>
        </w:pict>
      </w:r>
      <w:r>
        <w:rPr>
          <w:rFonts w:hint="eastAsia" w:ascii="Calibri" w:hAnsi="Calibri" w:cs="Calibri"/>
        </w:rPr>
        <w:t xml:space="preserve">                      </w:t>
      </w:r>
    </w:p>
    <w:p>
      <w:pPr>
        <w:ind w:left="1260" w:firstLine="210" w:firstLineChars="100"/>
        <w:rPr>
          <w:rFonts w:ascii="Calibri" w:hAnsi="Calibri" w:cs="宋体"/>
        </w:rPr>
      </w:pPr>
      <w:r>
        <w:rPr>
          <w:rFonts w:ascii="Calibri" w:hAnsi="Calibri" w:cs="宋体"/>
        </w:rPr>
        <w:pict>
          <v:rect id="文本框 1036" o:spid="_x0000_s1048" o:spt="1" style="position:absolute;left:0pt;margin-left:-43.75pt;margin-top:7.65pt;height:38.25pt;width:104.35pt;z-index:251682816;mso-width-relative:page;mso-height-relative:page;" stroked="f" coordsize="21600,21600">
            <v:path/>
            <v:fill focussize="0,0"/>
            <v:stroke on="f"/>
            <v:imagedata o:title=""/>
            <o:lock v:ext="edit"/>
            <v:textbox>
              <w:txbxContent>
                <w:p>
                  <w:r>
                    <w:rPr>
                      <w:rFonts w:hint="eastAsia"/>
                    </w:rPr>
                    <w:t>新巴尔虎右旗C</w:t>
                  </w:r>
                </w:p>
              </w:txbxContent>
            </v:textbox>
          </v:rect>
        </w:pict>
      </w:r>
      <w:r>
        <w:rPr>
          <w:rFonts w:ascii="Calibri" w:hAnsi="Calibri" w:cs="宋体"/>
        </w:rPr>
        <w:pict>
          <v:rect id="1047" o:spid="_x0000_s1049" o:spt="1" style="position:absolute;left:0pt;margin-left:11.25pt;margin-top:12.6pt;height:21.75pt;width:102.75pt;rotation:4980736f;z-index:251683840;mso-width-relative:page;mso-height-relative:page;" stroked="f" coordsize="21600,21600">
            <v:path/>
            <v:fill focussize="0,0"/>
            <v:stroke on="f"/>
            <v:imagedata o:title=""/>
            <o:lock v:ext="edit"/>
            <v:textbox>
              <w:txbxContent>
                <w:p>
                  <w:pPr>
                    <w:rPr>
                      <w:rFonts w:ascii="Calibri" w:hAnsi="Calibri" w:cs="宋体"/>
                    </w:rPr>
                  </w:pPr>
                  <w:r>
                    <w:rPr>
                      <w:rFonts w:hint="eastAsia" w:ascii="Calibri" w:hAnsi="Calibri" w:cs="宋体"/>
                    </w:rPr>
                    <w:t>新巴尔虎左</w:t>
                  </w:r>
                </w:p>
                <w:p>
                  <w:pPr>
                    <w:rPr>
                      <w:rFonts w:ascii="Calibri" w:hAnsi="Calibri" w:cs="宋体"/>
                    </w:rPr>
                  </w:pPr>
                  <w:r>
                    <w:rPr>
                      <w:rFonts w:hint="eastAsia" w:ascii="Calibri" w:hAnsi="Calibri" w:cs="宋体"/>
                    </w:rPr>
                    <w:t>A旗C</w:t>
                  </w:r>
                </w:p>
              </w:txbxContent>
            </v:textbox>
          </v:rect>
        </w:pict>
      </w:r>
    </w:p>
    <w:p>
      <w:pPr>
        <w:ind w:left="1260" w:hanging="1260"/>
        <w:rPr>
          <w:rFonts w:ascii="Calibri" w:hAnsi="Calibri" w:cs="宋体"/>
        </w:rPr>
      </w:pPr>
      <w:r>
        <w:rPr>
          <w:rFonts w:ascii="Calibri" w:hAnsi="Calibri" w:cs="宋体"/>
        </w:rPr>
        <w:pict>
          <v:rect id="1051" o:spid="_x0000_s1050" o:spt="1" style="position:absolute;left:0pt;margin-left:117.25pt;margin-top:8.9pt;height:39.8pt;width:64.7pt;rotation:2293760f;z-index:251684864;mso-width-relative:page;mso-height-relative:page;" stroked="f" coordsize="21600,21600">
            <v:path/>
            <v:fill focussize="0,0"/>
            <v:stroke on="f"/>
            <v:imagedata o:title=""/>
            <o:lock v:ext="edit"/>
            <v:textbox>
              <w:txbxContent>
                <w:p>
                  <w:pPr>
                    <w:rPr>
                      <w:rFonts w:ascii="Calibri" w:hAnsi="Calibri" w:cs="宋体"/>
                      <w:sz w:val="18"/>
                      <w:szCs w:val="18"/>
                    </w:rPr>
                  </w:pPr>
                  <w:r>
                    <w:rPr>
                      <w:rFonts w:hint="eastAsia" w:ascii="Calibri" w:hAnsi="Calibri" w:cs="宋体"/>
                      <w:sz w:val="18"/>
                      <w:szCs w:val="18"/>
                    </w:rPr>
                    <w:t>鄂温克族自治旗A、B</w:t>
                  </w:r>
                </w:p>
              </w:txbxContent>
            </v:textbox>
          </v:rect>
        </w:pict>
      </w:r>
    </w:p>
    <w:p>
      <w:pPr>
        <w:ind w:left="1260" w:hanging="1260"/>
        <w:rPr>
          <w:rFonts w:ascii="Calibri" w:hAnsi="Calibri" w:cs="宋体"/>
        </w:rPr>
      </w:pPr>
    </w:p>
    <w:p>
      <w:pPr>
        <w:ind w:left="1260" w:hanging="1260"/>
        <w:rPr>
          <w:rFonts w:ascii="Calibri" w:hAnsi="Calibri" w:cs="宋体"/>
        </w:rPr>
      </w:pPr>
    </w:p>
    <w:p>
      <w:pPr>
        <w:ind w:left="1260" w:hanging="1260"/>
        <w:rPr>
          <w:rFonts w:ascii="Calibri" w:hAnsi="Calibri" w:cs="宋体"/>
        </w:rPr>
      </w:pPr>
      <w:r>
        <w:rPr>
          <w:rFonts w:ascii="Calibri" w:hAnsi="Calibri" w:cs="宋体"/>
        </w:rPr>
        <w:pict>
          <v:rect id="1052" o:spid="_x0000_s1051" o:spt="1" style="position:absolute;left:0pt;margin-left:217.05pt;margin-top:5.35pt;height:22.5pt;width:76.7pt;rotation:21692416f;z-index:251685888;mso-width-relative:page;mso-height-relative:page;" stroked="f" coordsize="21600,21600">
            <v:path/>
            <v:fill focussize="0,0"/>
            <v:stroke on="f"/>
            <v:imagedata o:title=""/>
            <o:lock v:ext="edit"/>
            <v:textbox>
              <w:txbxContent>
                <w:p>
                  <w:pPr>
                    <w:rPr>
                      <w:rFonts w:ascii="Calibri" w:hAnsi="Calibri" w:cs="宋体"/>
                      <w:sz w:val="18"/>
                      <w:szCs w:val="18"/>
                    </w:rPr>
                  </w:pPr>
                  <w:r>
                    <w:rPr>
                      <w:rFonts w:hint="eastAsia" w:ascii="Calibri" w:hAnsi="Calibri" w:cs="宋体"/>
                      <w:sz w:val="18"/>
                      <w:szCs w:val="18"/>
                    </w:rPr>
                    <w:t>扎兰屯市A</w:t>
                  </w:r>
                </w:p>
              </w:txbxContent>
            </v:textbox>
          </v:rect>
        </w:pict>
      </w:r>
    </w:p>
    <w:p>
      <w:pPr>
        <w:ind w:left="1260" w:hanging="1260"/>
        <w:rPr>
          <w:rFonts w:ascii="楷体" w:hAnsi="楷体" w:eastAsia="楷体" w:cs="楷体"/>
          <w:color w:val="000000"/>
          <w:szCs w:val="21"/>
        </w:rPr>
      </w:pPr>
    </w:p>
    <w:p>
      <w:pPr>
        <w:ind w:left="840" w:hanging="840"/>
        <w:rPr>
          <w:rFonts w:ascii="楷体" w:hAnsi="楷体" w:eastAsia="楷体" w:cs="楷体"/>
          <w:color w:val="000000"/>
          <w:szCs w:val="21"/>
        </w:rPr>
      </w:pPr>
    </w:p>
    <w:p>
      <w:pPr>
        <w:ind w:left="840" w:hanging="840"/>
        <w:rPr>
          <w:rFonts w:ascii="楷体" w:hAnsi="楷体" w:eastAsia="楷体" w:cs="楷体"/>
          <w:color w:val="000000"/>
          <w:sz w:val="28"/>
          <w:szCs w:val="28"/>
        </w:rPr>
        <w:sectPr>
          <w:pgSz w:w="11906" w:h="16838"/>
          <w:pgMar w:top="1440" w:right="1800" w:bottom="1440" w:left="1800" w:header="851" w:footer="1587" w:gutter="0"/>
          <w:pgNumType w:fmt="numberInDash"/>
          <w:cols w:space="720" w:num="1"/>
          <w:docGrid w:type="lines" w:linePitch="312" w:charSpace="0"/>
        </w:sectPr>
      </w:pPr>
      <w:r>
        <w:rPr>
          <w:rFonts w:ascii="Calibri" w:hAnsi="Calibri" w:cs="宋体"/>
        </w:rPr>
        <w:pict>
          <v:rect id="1053" o:spid="_x0000_s1052" o:spt="1" style="position:absolute;left:0pt;margin-left:105.3pt;margin-top:32.5pt;height:26.3pt;width:213.05pt;z-index:251686912;mso-width-relative:page;mso-height-relative:page;" stroked="f" coordsize="21600,21600">
            <v:path/>
            <v:fill focussize="0,0"/>
            <v:stroke on="f"/>
            <v:imagedata o:title=""/>
            <o:lock v:ext="edit"/>
            <v:textbox>
              <w:txbxContent>
                <w:p>
                  <w:pPr>
                    <w:rPr>
                      <w:rFonts w:ascii="Calibri" w:hAnsi="Calibri" w:cs="宋体"/>
                      <w:sz w:val="24"/>
                    </w:rPr>
                  </w:pPr>
                  <w:r>
                    <w:rPr>
                      <w:rFonts w:hint="eastAsia" w:ascii="楷体" w:hAnsi="楷体" w:eastAsia="楷体" w:cs="楷体"/>
                      <w:b/>
                      <w:sz w:val="24"/>
                    </w:rPr>
                    <w:t>图3 马产业基础及服务设施配套图</w:t>
                  </w:r>
                </w:p>
              </w:txbxContent>
            </v:textbox>
          </v:rect>
        </w:pict>
      </w:r>
      <w:r>
        <w:rPr>
          <w:rFonts w:hint="eastAsia" w:ascii="楷体" w:hAnsi="楷体" w:eastAsia="楷体" w:cs="楷体"/>
          <w:color w:val="000000"/>
          <w:szCs w:val="21"/>
        </w:rPr>
        <w:t>示例：</w:t>
      </w:r>
      <w:r>
        <w:rPr>
          <w:rFonts w:hint="eastAsia" w:ascii="Calibri" w:hAnsi="Calibri" w:eastAsia="楷体" w:cs="Calibri"/>
          <w:color w:val="000000"/>
          <w:szCs w:val="21"/>
        </w:rPr>
        <w:t>A代表核心繁育基地、B代表竞技体育区域、C代表马产品生产区域、D代表休闲骑乘区域。</w:t>
      </w:r>
    </w:p>
    <w:p>
      <w:pPr>
        <w:pStyle w:val="2"/>
        <w:ind w:left="840" w:firstLine="640" w:firstLineChars="200"/>
        <w:jc w:val="both"/>
        <w:rPr>
          <w:rFonts w:hint="eastAsia" w:ascii="黑体" w:hAnsi="黑体" w:eastAsia="黑体" w:cs="黑体"/>
          <w:b w:val="0"/>
          <w:bCs/>
          <w:sz w:val="32"/>
          <w:szCs w:val="32"/>
        </w:rPr>
      </w:pPr>
      <w:bookmarkStart w:id="316" w:name="_Toc22991"/>
      <w:bookmarkStart w:id="317" w:name="_Toc16321_WPSOffice_Level1"/>
      <w:bookmarkStart w:id="318" w:name="_Toc27956"/>
      <w:bookmarkStart w:id="319" w:name="_Toc23190"/>
      <w:bookmarkStart w:id="320" w:name="_Toc21264"/>
      <w:bookmarkStart w:id="321" w:name="_Toc22943"/>
      <w:bookmarkStart w:id="322" w:name="_Toc22466"/>
      <w:bookmarkStart w:id="323" w:name="_Toc1622"/>
      <w:bookmarkStart w:id="324" w:name="_Toc16163"/>
      <w:r>
        <w:rPr>
          <w:rFonts w:hint="eastAsia" w:ascii="黑体" w:hAnsi="黑体" w:eastAsia="黑体" w:cs="黑体"/>
          <w:b w:val="0"/>
          <w:bCs/>
          <w:sz w:val="32"/>
          <w:szCs w:val="32"/>
        </w:rPr>
        <w:t>四、重点任务</w:t>
      </w:r>
      <w:bookmarkEnd w:id="316"/>
      <w:bookmarkEnd w:id="317"/>
      <w:bookmarkEnd w:id="318"/>
      <w:bookmarkEnd w:id="319"/>
      <w:bookmarkEnd w:id="320"/>
      <w:bookmarkEnd w:id="321"/>
      <w:bookmarkEnd w:id="322"/>
      <w:bookmarkEnd w:id="323"/>
      <w:bookmarkEnd w:id="324"/>
    </w:p>
    <w:p>
      <w:pPr>
        <w:pStyle w:val="3"/>
        <w:ind w:firstLine="640" w:firstLineChars="200"/>
        <w:rPr>
          <w:rFonts w:hint="eastAsia" w:ascii="楷体" w:hAnsi="楷体" w:cs="楷体"/>
          <w:b w:val="0"/>
          <w:bCs/>
          <w:szCs w:val="32"/>
        </w:rPr>
      </w:pPr>
      <w:bookmarkStart w:id="325" w:name="_Toc29726"/>
      <w:bookmarkStart w:id="326" w:name="_Toc7802"/>
      <w:bookmarkStart w:id="327" w:name="_Toc25282_WPSOffice_Level2"/>
      <w:bookmarkStart w:id="328" w:name="_Toc31911_WPSOffice_Level2"/>
      <w:bookmarkStart w:id="329" w:name="_Toc13709_WPSOffice_Level2"/>
      <w:bookmarkStart w:id="330" w:name="_Toc4172"/>
      <w:bookmarkStart w:id="331" w:name="_Toc13757_WPSOffice_Level2"/>
      <w:bookmarkStart w:id="332" w:name="_Toc10547_WPSOffice_Level2"/>
      <w:bookmarkStart w:id="333" w:name="_Toc14471"/>
      <w:bookmarkStart w:id="334" w:name="_Toc2887"/>
      <w:bookmarkStart w:id="335" w:name="_Toc31569"/>
      <w:bookmarkStart w:id="336" w:name="_Toc20376"/>
      <w:bookmarkStart w:id="337" w:name="_Toc7562"/>
      <w:bookmarkStart w:id="338" w:name="_Toc184"/>
      <w:bookmarkStart w:id="339" w:name="_Toc12158"/>
      <w:bookmarkStart w:id="340" w:name="_Toc25971"/>
      <w:r>
        <w:rPr>
          <w:rFonts w:hint="eastAsia"/>
          <w:b w:val="0"/>
          <w:bCs/>
          <w:sz w:val="32"/>
          <w:szCs w:val="32"/>
        </w:rPr>
        <w:t>（一）促进马匹养殖</w:t>
      </w:r>
      <w:bookmarkEnd w:id="325"/>
      <w:bookmarkEnd w:id="326"/>
      <w:bookmarkEnd w:id="327"/>
      <w:bookmarkEnd w:id="328"/>
      <w:bookmarkEnd w:id="329"/>
      <w:bookmarkEnd w:id="330"/>
      <w:bookmarkEnd w:id="331"/>
      <w:r>
        <w:rPr>
          <w:rFonts w:hint="eastAsia"/>
          <w:b w:val="0"/>
          <w:bCs/>
          <w:sz w:val="32"/>
          <w:szCs w:val="32"/>
        </w:rPr>
        <w:t>业发展</w:t>
      </w:r>
      <w:bookmarkEnd w:id="332"/>
      <w:bookmarkEnd w:id="333"/>
      <w:bookmarkEnd w:id="334"/>
      <w:bookmarkEnd w:id="335"/>
      <w:bookmarkEnd w:id="336"/>
      <w:bookmarkEnd w:id="337"/>
      <w:bookmarkEnd w:id="338"/>
      <w:bookmarkEnd w:id="339"/>
      <w:bookmarkEnd w:id="340"/>
    </w:p>
    <w:p>
      <w:pPr>
        <w:ind w:firstLine="640" w:firstLineChars="200"/>
        <w:rPr>
          <w:rFonts w:hint="eastAsia" w:ascii="仿宋_GB2312" w:hAnsi="仿宋_GB2312" w:eastAsia="仿宋_GB2312" w:cs="仿宋_GB2312"/>
          <w:sz w:val="32"/>
          <w:szCs w:val="32"/>
        </w:rPr>
      </w:pPr>
      <w:bookmarkStart w:id="341" w:name="_Toc9586_WPSOffice_Level3"/>
      <w:bookmarkStart w:id="342" w:name="_Toc25262_WPSOffice_Level3"/>
      <w:bookmarkStart w:id="343" w:name="_Toc8645"/>
      <w:bookmarkStart w:id="344" w:name="_Toc22844"/>
      <w:bookmarkStart w:id="345" w:name="_Toc32540"/>
      <w:bookmarkStart w:id="346" w:name="_Toc7136"/>
      <w:bookmarkStart w:id="347" w:name="_Toc19935_WPSOffice_Level3"/>
      <w:bookmarkStart w:id="348" w:name="_Toc17557"/>
      <w:bookmarkStart w:id="349" w:name="_Toc5908_WPSOffice_Level3"/>
      <w:r>
        <w:rPr>
          <w:rFonts w:hint="eastAsia" w:ascii="仿宋_GB2312" w:hAnsi="仿宋_GB2312" w:eastAsia="仿宋_GB2312" w:cs="仿宋_GB2312"/>
          <w:sz w:val="32"/>
          <w:szCs w:val="32"/>
        </w:rPr>
        <w:t>1、建立马品种资源保护和改良繁育体系</w:t>
      </w:r>
      <w:bookmarkEnd w:id="341"/>
      <w:bookmarkEnd w:id="342"/>
      <w:bookmarkEnd w:id="343"/>
      <w:bookmarkEnd w:id="344"/>
      <w:bookmarkEnd w:id="345"/>
      <w:bookmarkEnd w:id="346"/>
      <w:bookmarkEnd w:id="347"/>
      <w:bookmarkEnd w:id="348"/>
      <w:bookmarkEnd w:id="349"/>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（1）加强马品种资源保护</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着力抓好以繁殖、饲养、驯育为重点的马资源体系基础建设，精心打造以三河马为主的品牌繁育之都。加强繁育、改良和提纯复壮等现代繁育技术，实现马品牌产业化，把我市打造成全国重要的马匹繁育基地，为全国马业输送优良马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是按照自治区制定的马品种资源普查方案，我市的畜牧推广部门要积极开展马品种资源的普查，为编制马资源志做好基础工作。进一步完善马品种登记工作，加大品种改良力度，提高良种化程度。调整马群内部结构，增加能繁母马的比例，提高优良马匹产出率。实施标准化饲养管理技术、场地建、赛事活动等马业标准体系建设。</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二是积极贯彻落实蒙古马保护政策，建立蒙古马保护档案，充分利用自治区畜牧工作站种业资源管理平台，做好蒙古马基因入库工作。其次，对饲养基础母马达到一定规模的养殖户，每匹给予保种补贴。</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是坚持“以种促赛、以赛促种”，开展三河马竞技技能测定技术研究，支持马产业科技创新行动。建立三河马遗传资源保护研究和保种试验基地，通过对三河马遗传资源（耐力基因、性格基因、抗病基因等）的研究，为世界马科学研究提供宝贵的遗传资源。以种马业为起点延伸产业链，推动三河马特色马产业发展，为广大马主创收增收。</w:t>
      </w:r>
    </w:p>
    <w:p>
      <w:pPr>
        <w:ind w:firstLine="640" w:firstLineChars="200"/>
        <w:rPr>
          <w:rFonts w:hint="eastAsia" w:ascii="仿宋_GB2312" w:hAnsi="仿宋_GB2312" w:eastAsia="仿宋_GB2312" w:cs="仿宋_GB2312"/>
          <w:sz w:val="32"/>
          <w:szCs w:val="32"/>
        </w:rPr>
      </w:pPr>
      <w:bookmarkStart w:id="350" w:name="_Toc30090"/>
      <w:bookmarkStart w:id="351" w:name="_Toc31071"/>
      <w:r>
        <w:rPr>
          <w:rFonts w:hint="eastAsia" w:ascii="仿宋_GB2312" w:hAnsi="仿宋_GB2312" w:eastAsia="仿宋_GB2312" w:cs="仿宋_GB2312"/>
          <w:sz w:val="32"/>
          <w:szCs w:val="32"/>
        </w:rPr>
        <w:t>（2）注重马品种培育和良种繁育</w:t>
      </w:r>
      <w:bookmarkEnd w:id="350"/>
      <w:bookmarkEnd w:id="351"/>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利用我市现有的品种资源基础，培育国内外需要的产品用马、竞技马、休闲骑乘马等专门化品系，优化马匹品种和功能结构。借助我市原有马匹繁育基地的基础设施，同时积极引进国外优良纯种马种质资源，在有基础、有条件、有积极性的地区开展进口马纯种繁育，推进进口马的本土化纯种繁育工作，实现我市良马本土化目标。积极完善“软硬件”以及人才配置，使每一处基地具有各自特色，又相辅相成互相补充，制定明确的繁育目标和方案。</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蒙古马、三河马优质种质的地方主产区和有条件的马场，对马匹培育品种进行扩繁，优化育种方案，扩大育种规模。对进口马纯种繁育场进行引进优质种公马的财政补贴，同时对育场建设项目进行年度考核评估，切实保证进口马纯种繁育的有效实施。其次，对农牧民及合作社、种马场、马科研教学单位拍得的种马实行良种补贴。建立专用马性能测试中心，提升选种育种水平，建立完善品种登记管理制度,使马匹繁育基地形成有机整体，努力打造全国示范基地。</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进行大兴安岭马新型优良品种培育，建立以大兴安岭马核心群和选育群为重点的良种繁育体系，推动大兴安岭森林马向轻型化选育的力度，着重在旅游、休闲娱乐、竞技比赛等方面进行开发利用，培育适应于休闲娱乐骑乘的专门化马种。</w:t>
      </w:r>
    </w:p>
    <w:p>
      <w:pPr>
        <w:ind w:firstLine="640" w:firstLineChars="200"/>
        <w:rPr>
          <w:rFonts w:hint="eastAsia" w:ascii="仿宋_GB2312" w:hAnsi="仿宋_GB2312" w:eastAsia="仿宋_GB2312" w:cs="仿宋_GB2312"/>
          <w:sz w:val="32"/>
          <w:szCs w:val="32"/>
        </w:rPr>
      </w:pPr>
      <w:bookmarkStart w:id="352" w:name="_Toc17208_WPSOffice_Level3"/>
      <w:bookmarkStart w:id="353" w:name="_Toc3287_WPSOffice_Level3"/>
      <w:bookmarkStart w:id="354" w:name="_Toc9578"/>
      <w:bookmarkStart w:id="355" w:name="_Toc24749"/>
      <w:bookmarkStart w:id="356" w:name="_Toc28806"/>
      <w:bookmarkStart w:id="357" w:name="_Toc3645_WPSOffice_Level3"/>
      <w:bookmarkStart w:id="358" w:name="_Toc2431"/>
      <w:bookmarkStart w:id="359" w:name="_Toc32374_WPSOffice_Level3"/>
      <w:r>
        <w:rPr>
          <w:rFonts w:hint="eastAsia" w:ascii="仿宋_GB2312" w:hAnsi="仿宋_GB2312" w:eastAsia="仿宋_GB2312" w:cs="仿宋_GB2312"/>
          <w:sz w:val="32"/>
          <w:szCs w:val="32"/>
        </w:rPr>
        <w:t>2、规范马匹饲养管理</w:t>
      </w:r>
      <w:bookmarkEnd w:id="352"/>
      <w:bookmarkEnd w:id="353"/>
      <w:bookmarkEnd w:id="354"/>
      <w:bookmarkEnd w:id="355"/>
      <w:bookmarkEnd w:id="356"/>
      <w:bookmarkEnd w:id="357"/>
      <w:bookmarkEnd w:id="358"/>
      <w:bookmarkEnd w:id="359"/>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于马匹使用功能的转变，育马者更多是通过驯教马匹而使其性能得以良好体现，从而获得更大的经济利益并满足健康和精神文化的需要。我市现阶段要不断规范并加强马匹训教技术，制定严格的饲养管理标准，增强马匹素质和提高工作能力，使马更好地适应它所处的环境、改进体况，学会工作技巧和竞赛能力。参考国外运动马性能测定方法，制定运动马性能测定标准，建立运动马性能测定中心。</w:t>
      </w:r>
    </w:p>
    <w:p>
      <w:pPr>
        <w:ind w:firstLine="640" w:firstLineChars="200"/>
        <w:rPr>
          <w:rFonts w:hint="eastAsia" w:ascii="仿宋_GB2312" w:hAnsi="仿宋_GB2312" w:eastAsia="仿宋_GB2312" w:cs="仿宋_GB2312"/>
          <w:sz w:val="32"/>
          <w:szCs w:val="32"/>
        </w:rPr>
      </w:pPr>
      <w:bookmarkStart w:id="360" w:name="_Toc4495_WPSOffice_Level3"/>
      <w:bookmarkStart w:id="361" w:name="_Toc10763"/>
      <w:bookmarkStart w:id="362" w:name="_Toc14914_WPSOffice_Level3"/>
      <w:bookmarkStart w:id="363" w:name="_Toc20924_WPSOffice_Level3"/>
      <w:bookmarkStart w:id="364" w:name="_Toc3516"/>
      <w:bookmarkStart w:id="365" w:name="_Toc22486_WPSOffice_Level3"/>
      <w:bookmarkStart w:id="366" w:name="_Toc4453"/>
      <w:bookmarkStart w:id="367" w:name="_Toc7124"/>
      <w:r>
        <w:rPr>
          <w:rFonts w:hint="eastAsia" w:ascii="仿宋_GB2312" w:hAnsi="仿宋_GB2312" w:eastAsia="仿宋_GB2312" w:cs="仿宋_GB2312"/>
          <w:sz w:val="32"/>
          <w:szCs w:val="32"/>
        </w:rPr>
        <w:t>3、加强防疫工作</w:t>
      </w:r>
      <w:bookmarkEnd w:id="360"/>
      <w:bookmarkEnd w:id="361"/>
      <w:bookmarkEnd w:id="362"/>
      <w:bookmarkEnd w:id="363"/>
      <w:bookmarkEnd w:id="364"/>
      <w:bookmarkEnd w:id="365"/>
      <w:bookmarkEnd w:id="366"/>
      <w:bookmarkEnd w:id="367"/>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展马属动物疫病监测，监测马传贫、马鼻疽等马属动物疫病，制定马属动物疫病专门强制免疫措施。加强马属动物疫情的预警预报，完善应对突发疫的反应机制。对研发马属动物专用药品、疫苗等的科研机构、兽药企业进行相应地政策优惠，面向社会批量化生产。大型涉马企业也要成立马匹专门医疗团队，重视马的检疫、诊断、康复治疗。加强各级畜牧兽医站基础设施建设，与各大职业院校联合培养马兽医专业人才，改善防疫机构的工作环境及防疫条件。建立全科马兽医临床诊疗队伍，提高诊疗和赛事兽医水平，逐步建立有地方特色的马福利规则，为养马提供有效技术指导和服务。到2025年，形成与全面建设小康社会相适应，有效保障马匹养殖生产安全，产品质量安全和公共卫生安全的疫病防控综合体系，口蹄疫、高致病性禽流感等16种优先防控的国内动物疫病达到规划设定的考核标准，完善马匹检测检疫机制。</w:t>
      </w:r>
    </w:p>
    <w:p>
      <w:pPr>
        <w:ind w:firstLine="640" w:firstLineChars="200"/>
        <w:rPr>
          <w:rFonts w:hint="eastAsia" w:ascii="仿宋_GB2312" w:hAnsi="仿宋_GB2312" w:eastAsia="仿宋_GB2312" w:cs="仿宋_GB2312"/>
          <w:sz w:val="32"/>
          <w:szCs w:val="32"/>
        </w:rPr>
      </w:pPr>
      <w:bookmarkStart w:id="368" w:name="_Toc574"/>
      <w:bookmarkStart w:id="369" w:name="_Toc23630_WPSOffice_Level3"/>
      <w:bookmarkStart w:id="370" w:name="_Toc7783"/>
      <w:bookmarkStart w:id="371" w:name="_Toc5132"/>
      <w:bookmarkStart w:id="372" w:name="_Toc31980_WPSOffice_Level3"/>
      <w:bookmarkStart w:id="373" w:name="_Toc15062_WPSOffice_Level3"/>
      <w:bookmarkStart w:id="374" w:name="_Toc6945_WPSOffice_Level3"/>
      <w:bookmarkStart w:id="375" w:name="_Toc26807"/>
      <w:r>
        <w:rPr>
          <w:rFonts w:hint="eastAsia" w:ascii="仿宋_GB2312" w:hAnsi="仿宋_GB2312" w:eastAsia="仿宋_GB2312" w:cs="仿宋_GB2312"/>
          <w:sz w:val="32"/>
          <w:szCs w:val="32"/>
        </w:rPr>
        <w:t>4、解决草畜矛盾</w:t>
      </w:r>
      <w:bookmarkEnd w:id="368"/>
      <w:bookmarkEnd w:id="369"/>
      <w:bookmarkEnd w:id="370"/>
      <w:bookmarkEnd w:id="371"/>
      <w:bookmarkEnd w:id="372"/>
      <w:bookmarkEnd w:id="373"/>
      <w:bookmarkEnd w:id="374"/>
      <w:bookmarkEnd w:id="375"/>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改良退化草原、建设人工饲草地和舍饲棚圈，提升饲草种植能力和水平。推进禁牧休牧划区轮牧和草畜平衡措施，减轻天然草原放牧压力，加快恢复草原植被，推进草原畜牧业生产方式转变，促进草原生态和畜牧业协调发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封育、施肥补播、灌溉、松土切根等单项或综合措施，充分利用牧区优良牧草的种原,因地制宜地选择适宜的土壤地形,选择含营养分高的一些牧草栽培，大力推广人工种草，积极发展草产业，探讨种养结合的畜草循环发展模式。重点实施风沙源治理、农牧交错带已垦草原治理、新一轮退耕还林还草、草地开发利用等工程，完善草原灾害防控基础设施。加强草原监督管理，遏制乱开滥垦、乱采滥挖等违法行为。</w:t>
      </w:r>
    </w:p>
    <w:p>
      <w:pPr>
        <w:pStyle w:val="3"/>
        <w:keepNext w:val="0"/>
        <w:keepLines w:val="0"/>
        <w:ind w:firstLine="640" w:firstLineChars="200"/>
        <w:rPr>
          <w:rFonts w:hint="eastAsia" w:ascii="仿宋_GB2312" w:hAnsi="仿宋_GB2312" w:eastAsia="仿宋_GB2312" w:cs="仿宋_GB2312"/>
          <w:b w:val="0"/>
          <w:bCs/>
          <w:szCs w:val="32"/>
        </w:rPr>
      </w:pPr>
      <w:bookmarkStart w:id="376" w:name="_Toc5190_WPSOffice_Level2"/>
      <w:bookmarkStart w:id="377" w:name="_Toc24938"/>
      <w:bookmarkStart w:id="378" w:name="_Toc4199"/>
      <w:bookmarkStart w:id="379" w:name="_Toc12835_WPSOffice_Level2"/>
      <w:bookmarkStart w:id="380" w:name="_Toc4835"/>
      <w:bookmarkStart w:id="381" w:name="_Toc21397"/>
      <w:bookmarkStart w:id="382" w:name="_Toc1278_WPSOffice_Level2"/>
      <w:bookmarkStart w:id="383" w:name="_Toc24132"/>
      <w:bookmarkStart w:id="384" w:name="_Toc9447"/>
      <w:bookmarkStart w:id="385" w:name="_Toc22348"/>
      <w:bookmarkStart w:id="386" w:name="_Toc28075"/>
      <w:bookmarkStart w:id="387" w:name="_Toc19743_WPSOffice_Level2"/>
      <w:bookmarkStart w:id="388" w:name="_Toc1914"/>
      <w:bookmarkStart w:id="389" w:name="_Toc20603_WPSOffice_Level2"/>
      <w:bookmarkStart w:id="390" w:name="_Toc282"/>
      <w:r>
        <w:rPr>
          <w:rFonts w:hint="eastAsia" w:ascii="楷体" w:hAnsi="楷体" w:cs="楷体"/>
          <w:b w:val="0"/>
          <w:bCs/>
          <w:sz w:val="32"/>
          <w:szCs w:val="32"/>
        </w:rPr>
        <w:t>（二）加强马产品开发及质量监督</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招商引资，制定优惠政策，积极扶持培育一批马产品生产加工龙头企业，打造具有全国知名度和影响力的核心企业，鼓励大众以马资源开发为载体，实施创新创业计划，建设成为全国重要的马产品基地。深入挖掘马产品食用、药用及保健价值，推广马奶、马血清等在蒙医蒙药领域的应用，延伸产业链，形成马产品生产、加工、销售等一系列项目的综合型企业群，积极推进马产业的产业化、规模化、标准化、品牌化发展，加快传统马业向现代马业的转变。</w:t>
      </w:r>
    </w:p>
    <w:p>
      <w:pPr>
        <w:ind w:firstLine="640" w:firstLineChars="200"/>
        <w:rPr>
          <w:rFonts w:hint="eastAsia" w:ascii="仿宋_GB2312" w:hAnsi="仿宋_GB2312" w:eastAsia="仿宋_GB2312" w:cs="仿宋_GB2312"/>
          <w:sz w:val="32"/>
          <w:szCs w:val="32"/>
          <w:highlight w:val="yellow"/>
        </w:rPr>
      </w:pPr>
      <w:r>
        <w:rPr>
          <w:rFonts w:hint="eastAsia" w:ascii="仿宋_GB2312" w:hAnsi="仿宋_GB2312" w:eastAsia="仿宋_GB2312" w:cs="仿宋_GB2312"/>
          <w:sz w:val="32"/>
          <w:szCs w:val="32"/>
        </w:rPr>
        <w:t>引进良种肉乳用马，通过杂交改良使现有品种改造成为肉用品种、乳用品种或肉乳兼用品种，逐步向肉用、乳用以及生物制品用马专门化品种过渡。</w:t>
      </w:r>
    </w:p>
    <w:p>
      <w:pPr>
        <w:ind w:firstLine="640" w:firstLineChars="200"/>
        <w:rPr>
          <w:rFonts w:hint="eastAsia" w:ascii="仿宋_GB2312" w:hAnsi="仿宋_GB2312" w:eastAsia="仿宋_GB2312" w:cs="仿宋_GB2312"/>
          <w:sz w:val="32"/>
          <w:szCs w:val="32"/>
        </w:rPr>
      </w:pPr>
      <w:bookmarkStart w:id="391" w:name="_Toc9102_WPSOffice_Level3"/>
      <w:bookmarkStart w:id="392" w:name="_Toc25549_WPSOffice_Level3"/>
      <w:bookmarkStart w:id="393" w:name="_Toc2161_WPSOffice_Level3"/>
      <w:bookmarkStart w:id="394" w:name="_Toc946"/>
      <w:bookmarkStart w:id="395" w:name="_Toc15929"/>
      <w:bookmarkStart w:id="396" w:name="_Toc1583"/>
      <w:bookmarkStart w:id="397" w:name="_Toc13999_WPSOffice_Level3"/>
      <w:bookmarkStart w:id="398" w:name="_Toc30185"/>
      <w:r>
        <w:rPr>
          <w:rFonts w:hint="eastAsia" w:ascii="仿宋_GB2312" w:hAnsi="仿宋_GB2312" w:eastAsia="仿宋_GB2312" w:cs="仿宋_GB2312"/>
          <w:sz w:val="32"/>
          <w:szCs w:val="32"/>
        </w:rPr>
        <w:t>1、马肉产品综合开发</w:t>
      </w:r>
      <w:bookmarkEnd w:id="391"/>
      <w:bookmarkEnd w:id="392"/>
      <w:bookmarkEnd w:id="393"/>
      <w:bookmarkEnd w:id="394"/>
      <w:bookmarkEnd w:id="395"/>
      <w:bookmarkEnd w:id="396"/>
      <w:bookmarkEnd w:id="397"/>
      <w:bookmarkEnd w:id="398"/>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市马匹数量众多，遗传资源丰富，具有独特的经济价值，是全国乃至世界马种中珍贵的遗传资源，具有培育肉用型专门品种的基础条件。我市应该在保种的前提下，采用杂交改良草原地方品种的方法，以加速培育生长快、产肉多的肉用型新品种。建立标准的马肉加工制造企业，结合各旗马业专业合作社，形成马肉产业链，多元化开发马肉制品，逐步打入市场。</w:t>
      </w:r>
    </w:p>
    <w:p>
      <w:pPr>
        <w:ind w:firstLine="640" w:firstLineChars="200"/>
        <w:rPr>
          <w:rFonts w:hint="eastAsia" w:ascii="仿宋_GB2312" w:hAnsi="仿宋_GB2312" w:eastAsia="仿宋_GB2312" w:cs="仿宋_GB2312"/>
          <w:sz w:val="32"/>
          <w:szCs w:val="32"/>
        </w:rPr>
      </w:pPr>
      <w:bookmarkStart w:id="399" w:name="_Toc26575"/>
      <w:bookmarkStart w:id="400" w:name="_Toc30902_WPSOffice_Level3"/>
      <w:bookmarkStart w:id="401" w:name="_Toc22147"/>
      <w:bookmarkStart w:id="402" w:name="_Toc9867_WPSOffice_Level3"/>
      <w:bookmarkStart w:id="403" w:name="_Toc22355"/>
      <w:bookmarkStart w:id="404" w:name="_Toc3736_WPSOffice_Level3"/>
      <w:bookmarkStart w:id="405" w:name="_Toc5498_WPSOffice_Level3"/>
      <w:bookmarkStart w:id="406" w:name="_Toc27931"/>
      <w:r>
        <w:rPr>
          <w:rFonts w:hint="eastAsia" w:ascii="仿宋_GB2312" w:hAnsi="仿宋_GB2312" w:eastAsia="仿宋_GB2312" w:cs="仿宋_GB2312"/>
          <w:sz w:val="32"/>
          <w:szCs w:val="32"/>
        </w:rPr>
        <w:t>2、马奶产品开发</w:t>
      </w:r>
      <w:bookmarkEnd w:id="399"/>
      <w:bookmarkEnd w:id="400"/>
      <w:bookmarkEnd w:id="401"/>
      <w:bookmarkEnd w:id="402"/>
      <w:bookmarkEnd w:id="403"/>
      <w:bookmarkEnd w:id="404"/>
      <w:bookmarkEnd w:id="405"/>
      <w:bookmarkEnd w:id="406"/>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育乳用型专门品种，鼓励牧区附近有条件的乳品企业从事马乳加工。在马匹集中的地区建立马乳收购站，配备冷却、贮存及质量检验等设备，及时收购生鲜马乳。建站可采用牧业合作社和企业共建、嘎查和企业共建、政府补贴企业自建等。奶业协会、乳品企业要和营养界合作，采用多种形式，宣传普及马乳和马乳制品的营养知识，提高消费者对马</w:t>
      </w:r>
      <w:r>
        <w:rPr>
          <w:rFonts w:hint="eastAsia" w:ascii="仿宋_GB2312" w:hAnsi="仿宋_GB2312" w:eastAsia="仿宋_GB2312" w:cs="仿宋_GB2312"/>
          <w:spacing w:val="-6"/>
          <w:sz w:val="32"/>
          <w:szCs w:val="32"/>
        </w:rPr>
        <w:t>乳的认知水平，引导消费者正确选择马乳制品，不断拓展市场。</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我市可以结合旅游业，建设酸马奶生产基地。针对大型城市高端消费群体开发无菌保鲜马奶、酸马奶、马奶粉、马奶酒及婴儿专用马奶等具有保健功能的奶制品。</w:t>
      </w:r>
    </w:p>
    <w:p>
      <w:pPr>
        <w:ind w:firstLine="640" w:firstLineChars="200"/>
        <w:rPr>
          <w:rFonts w:hint="eastAsia" w:ascii="仿宋_GB2312" w:hAnsi="仿宋_GB2312" w:eastAsia="仿宋_GB2312" w:cs="仿宋_GB2312"/>
          <w:sz w:val="32"/>
          <w:szCs w:val="32"/>
        </w:rPr>
      </w:pPr>
      <w:bookmarkStart w:id="407" w:name="_Toc18172_WPSOffice_Level3"/>
      <w:bookmarkStart w:id="408" w:name="_Toc32605"/>
      <w:bookmarkStart w:id="409" w:name="_Toc20296_WPSOffice_Level3"/>
      <w:bookmarkStart w:id="410" w:name="_Toc21041_WPSOffice_Level3"/>
      <w:bookmarkStart w:id="411" w:name="_Toc14836"/>
      <w:bookmarkStart w:id="412" w:name="_Toc27116_WPSOffice_Level3"/>
      <w:bookmarkStart w:id="413" w:name="_Toc27662"/>
      <w:bookmarkStart w:id="414" w:name="_Toc627"/>
      <w:r>
        <w:rPr>
          <w:rFonts w:hint="eastAsia" w:ascii="仿宋_GB2312" w:hAnsi="仿宋_GB2312" w:eastAsia="仿宋_GB2312" w:cs="仿宋_GB2312"/>
          <w:sz w:val="32"/>
          <w:szCs w:val="32"/>
        </w:rPr>
        <w:t>3、马生物制品开发</w:t>
      </w:r>
      <w:bookmarkEnd w:id="407"/>
      <w:bookmarkEnd w:id="408"/>
      <w:bookmarkEnd w:id="409"/>
      <w:bookmarkEnd w:id="410"/>
      <w:bookmarkEnd w:id="411"/>
      <w:bookmarkEnd w:id="412"/>
      <w:bookmarkEnd w:id="413"/>
      <w:bookmarkEnd w:id="414"/>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到2025年，通过建成孕马血清促性腺激素生产加工基地，采用公司+基地+养殖大户的模式，致力于专门化孕马血清促性腺激素的研究、开发、生产，打造呼伦贝尔市特有的孕马血清促性腺激素品牌。制定并完成孕马血清促性腺（PMSG）标准规范，定位目标市场，进军目标市场，在目标市场站稳脚跟，最终走向国际市场。</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时开发精制马脂提取技术，重点研发马脂化妆品。推动原料采收、汇集、加工、下游市场开发等全产业链一体化发展的运营机制，克服原料分散、多元生产模式难以形成市场影响力的障碍。与国内外生物制品公司合作，形成生产规模，提高产品档次，扩大产品的市场影响力，打造马脂生物制品品牌。</w:t>
      </w:r>
    </w:p>
    <w:p>
      <w:pPr>
        <w:ind w:firstLine="640" w:firstLineChars="200"/>
        <w:rPr>
          <w:rFonts w:hint="eastAsia" w:ascii="仿宋_GB2312" w:hAnsi="仿宋_GB2312" w:eastAsia="仿宋_GB2312" w:cs="仿宋_GB2312"/>
          <w:sz w:val="32"/>
          <w:szCs w:val="32"/>
        </w:rPr>
      </w:pPr>
      <w:bookmarkStart w:id="415" w:name="_Toc16194_WPSOffice_Level3"/>
      <w:bookmarkStart w:id="416" w:name="_Toc21677_WPSOffice_Level3"/>
      <w:bookmarkStart w:id="417" w:name="_Toc5641"/>
      <w:bookmarkStart w:id="418" w:name="_Toc32349"/>
      <w:bookmarkStart w:id="419" w:name="_Toc4716"/>
      <w:bookmarkStart w:id="420" w:name="_Toc26569_WPSOffice_Level3"/>
      <w:bookmarkStart w:id="421" w:name="_Toc30575"/>
      <w:bookmarkStart w:id="422" w:name="_Toc19489_WPSOffice_Level3"/>
      <w:r>
        <w:rPr>
          <w:rFonts w:hint="eastAsia" w:ascii="仿宋_GB2312" w:hAnsi="仿宋_GB2312" w:eastAsia="仿宋_GB2312" w:cs="仿宋_GB2312"/>
          <w:sz w:val="32"/>
          <w:szCs w:val="32"/>
        </w:rPr>
        <w:t>4、产品质量监督</w:t>
      </w:r>
      <w:bookmarkEnd w:id="415"/>
      <w:bookmarkEnd w:id="416"/>
      <w:bookmarkEnd w:id="417"/>
      <w:bookmarkEnd w:id="418"/>
      <w:bookmarkEnd w:id="419"/>
      <w:bookmarkEnd w:id="420"/>
      <w:bookmarkEnd w:id="421"/>
      <w:bookmarkEnd w:id="422"/>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制定生产技术规程，规范马肉、马乳和相关制品标准；开发适销对路的多元化马产品。质量技术监督部门也要加强产品质量监督检验，确保产品质量安全，为我市马产品输出做好前期工作。</w:t>
      </w:r>
    </w:p>
    <w:p>
      <w:pPr>
        <w:pStyle w:val="3"/>
        <w:keepNext w:val="0"/>
        <w:keepLines w:val="0"/>
        <w:ind w:firstLine="640" w:firstLineChars="200"/>
        <w:rPr>
          <w:rFonts w:hint="eastAsia" w:ascii="楷体" w:hAnsi="楷体" w:cs="楷体"/>
          <w:b w:val="0"/>
          <w:bCs/>
          <w:sz w:val="32"/>
          <w:szCs w:val="32"/>
        </w:rPr>
      </w:pPr>
      <w:bookmarkStart w:id="423" w:name="_Toc22190"/>
      <w:bookmarkStart w:id="424" w:name="_Toc29333"/>
      <w:bookmarkStart w:id="425" w:name="_Toc22575_WPSOffice_Level2"/>
      <w:bookmarkStart w:id="426" w:name="_Toc15337"/>
      <w:bookmarkStart w:id="427" w:name="_Toc19526_WPSOffice_Level2"/>
      <w:bookmarkStart w:id="428" w:name="_Toc1766"/>
      <w:bookmarkStart w:id="429" w:name="_Toc32327"/>
      <w:bookmarkStart w:id="430" w:name="_Toc24300_WPSOffice_Level2"/>
      <w:bookmarkStart w:id="431" w:name="_Toc8613_WPSOffice_Level2"/>
      <w:bookmarkStart w:id="432" w:name="_Toc23331"/>
      <w:bookmarkStart w:id="433" w:name="_Toc10323"/>
      <w:bookmarkStart w:id="434" w:name="_Toc12542"/>
      <w:bookmarkStart w:id="435" w:name="_Toc9088"/>
      <w:bookmarkStart w:id="436" w:name="_Toc15768_WPSOffice_Level2"/>
      <w:bookmarkStart w:id="437" w:name="_Toc7148"/>
      <w:r>
        <w:rPr>
          <w:rFonts w:hint="eastAsia" w:ascii="楷体" w:hAnsi="楷体" w:cs="楷体"/>
          <w:b w:val="0"/>
          <w:bCs/>
          <w:sz w:val="32"/>
          <w:szCs w:val="32"/>
        </w:rPr>
        <w:t>（三）大力发展休闲骑乘和马竞技体育产业</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ind w:firstLine="640" w:firstLineChars="200"/>
        <w:rPr>
          <w:rFonts w:hint="eastAsia" w:ascii="仿宋_GB2312" w:hAnsi="仿宋_GB2312" w:eastAsia="仿宋_GB2312" w:cs="仿宋_GB2312"/>
          <w:sz w:val="32"/>
          <w:szCs w:val="32"/>
        </w:rPr>
      </w:pPr>
      <w:bookmarkStart w:id="438" w:name="_Toc29683"/>
      <w:bookmarkStart w:id="439" w:name="_Toc18544_WPSOffice_Level3"/>
      <w:bookmarkStart w:id="440" w:name="_Toc19153"/>
      <w:bookmarkStart w:id="441" w:name="_Toc14095_WPSOffice_Level3"/>
      <w:bookmarkStart w:id="442" w:name="_Toc3029_WPSOffice_Level3"/>
      <w:bookmarkStart w:id="443" w:name="_Toc6965_WPSOffice_Level3"/>
      <w:bookmarkStart w:id="444" w:name="_Toc22385"/>
      <w:bookmarkStart w:id="445" w:name="_Toc14118"/>
      <w:r>
        <w:rPr>
          <w:rFonts w:hint="eastAsia" w:ascii="仿宋_GB2312" w:hAnsi="仿宋_GB2312" w:eastAsia="仿宋_GB2312" w:cs="仿宋_GB2312"/>
          <w:sz w:val="32"/>
          <w:szCs w:val="32"/>
        </w:rPr>
        <w:t>1、重视运动用马的调教工作</w:t>
      </w:r>
      <w:bookmarkEnd w:id="438"/>
      <w:bookmarkEnd w:id="439"/>
      <w:bookmarkEnd w:id="440"/>
      <w:bookmarkEnd w:id="441"/>
      <w:bookmarkEnd w:id="442"/>
      <w:bookmarkEnd w:id="443"/>
      <w:bookmarkEnd w:id="444"/>
      <w:bookmarkEnd w:id="445"/>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吸收借鉴国内外运动马调教的先进经验，由我市牵头，组织成立马匹驯育协会，依据马品种</w:t>
      </w:r>
      <w:r>
        <w:rPr>
          <w:rFonts w:hint="eastAsia" w:ascii="仿宋_GB2312" w:hAnsi="仿宋_GB2312" w:eastAsia="仿宋_GB2312" w:cs="仿宋_GB2312"/>
          <w:kern w:val="0"/>
          <w:sz w:val="32"/>
          <w:szCs w:val="32"/>
        </w:rPr>
        <w:t>制定科学的运动马调教方法体系，并且</w:t>
      </w:r>
      <w:r>
        <w:rPr>
          <w:rFonts w:hint="eastAsia" w:ascii="仿宋_GB2312" w:hAnsi="仿宋_GB2312" w:eastAsia="仿宋_GB2312" w:cs="仿宋_GB2312"/>
          <w:sz w:val="32"/>
          <w:szCs w:val="32"/>
        </w:rPr>
        <w:t>对马术俱乐部、马业企业驯养的竞技马、休闲马、表演马、观赏马等进行马匹驯育的指导工作，提升成品马的马匹附加值，实现高端成品马产业链条的延伸，</w:t>
      </w:r>
      <w:r>
        <w:rPr>
          <w:rFonts w:hint="eastAsia" w:ascii="仿宋_GB2312" w:hAnsi="仿宋_GB2312" w:eastAsia="仿宋_GB2312" w:cs="仿宋_GB2312"/>
          <w:kern w:val="0"/>
          <w:sz w:val="32"/>
          <w:szCs w:val="32"/>
        </w:rPr>
        <w:t>为我市运动马业发展奠定基础。</w:t>
      </w:r>
    </w:p>
    <w:p>
      <w:pPr>
        <w:ind w:firstLine="640" w:firstLineChars="200"/>
        <w:rPr>
          <w:rFonts w:hint="eastAsia" w:ascii="仿宋_GB2312" w:hAnsi="仿宋_GB2312" w:eastAsia="仿宋_GB2312" w:cs="仿宋_GB2312"/>
          <w:sz w:val="32"/>
          <w:szCs w:val="32"/>
        </w:rPr>
      </w:pPr>
      <w:bookmarkStart w:id="446" w:name="_Toc8106_WPSOffice_Level3"/>
      <w:bookmarkStart w:id="447" w:name="_Toc27522_WPSOffice_Level3"/>
      <w:bookmarkStart w:id="448" w:name="_Toc6059_WPSOffice_Level3"/>
      <w:bookmarkStart w:id="449" w:name="_Toc7512_WPSOffice_Level3"/>
      <w:bookmarkStart w:id="450" w:name="_Toc21699"/>
      <w:bookmarkStart w:id="451" w:name="_Toc24994"/>
      <w:bookmarkStart w:id="452" w:name="_Toc9343"/>
      <w:bookmarkStart w:id="453" w:name="_Toc7533"/>
      <w:r>
        <w:rPr>
          <w:rFonts w:hint="eastAsia" w:ascii="仿宋_GB2312" w:hAnsi="仿宋_GB2312" w:eastAsia="仿宋_GB2312" w:cs="仿宋_GB2312"/>
          <w:sz w:val="32"/>
          <w:szCs w:val="32"/>
        </w:rPr>
        <w:t>2、规范赛马赛事规则，打造、引进、参与特色马竞技赛事</w:t>
      </w:r>
      <w:bookmarkEnd w:id="446"/>
      <w:bookmarkEnd w:id="447"/>
      <w:bookmarkEnd w:id="448"/>
      <w:bookmarkEnd w:id="449"/>
      <w:bookmarkEnd w:id="450"/>
      <w:bookmarkEnd w:id="451"/>
      <w:bookmarkEnd w:id="452"/>
      <w:bookmarkEnd w:id="453"/>
    </w:p>
    <w:p>
      <w:pPr>
        <w:autoSpaceDE w:val="0"/>
        <w:autoSpaceDN w:val="0"/>
        <w:adjustRightInd w:val="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按照国际标准完善大型赛马和马术表演活动场所，突出蒙古马、三河马优势和特点，结合本地赛马赛事和国际化赛事规则，</w:t>
      </w:r>
      <w:r>
        <w:rPr>
          <w:rFonts w:hint="eastAsia" w:ascii="仿宋_GB2312" w:hAnsi="仿宋_GB2312" w:eastAsia="仿宋_GB2312" w:cs="仿宋_GB2312"/>
          <w:sz w:val="32"/>
          <w:szCs w:val="32"/>
        </w:rPr>
        <w:t>在保留民族特色马术活动的基础上，将赛马统一化，规范化，</w:t>
      </w:r>
      <w:r>
        <w:rPr>
          <w:rFonts w:hint="eastAsia" w:ascii="仿宋_GB2312" w:hAnsi="仿宋_GB2312" w:eastAsia="仿宋_GB2312" w:cs="仿宋_GB2312"/>
          <w:kern w:val="0"/>
          <w:sz w:val="32"/>
          <w:szCs w:val="32"/>
        </w:rPr>
        <w:t>打造属地民族赛马赛事，提高赛马赛事集约化度、观赏性和娱乐性，推动群众性赛马常态化，成为全国重要的马匹竞技基地和马匹夏训基地。</w:t>
      </w:r>
    </w:p>
    <w:p>
      <w:pPr>
        <w:widowControl/>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组织举办国际、国内赛马、马术赛事，促进竞技马业与文化产业、节庆会展业、旅游业的深度融合。积极与国内外大型马业协会合作，建立基于赛事组织和技术共享为基础的合作关系，聘请赛事运营机构，对赛事进行运营管理。积极开展国际马术旅游联合会（FITE）骑射比赛的赛事引进、赛事培训。依托我市现有大型赛马场，组织承办国家级各类民族体育赛事、内蒙古国际马术节及大型商业性赛马活动等马品牌赛事活动，打造呼伦贝尔市马术节、内蒙古马术联赛等具有知识产权的比赛，形成集体育、旅游、文化为一体的赛马运动品牌。</w:t>
      </w:r>
    </w:p>
    <w:p>
      <w:pPr>
        <w:widowControl/>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引进和参与赛马赛事活动。一是比赛类活动。世界马术运动会、马术世界杯（及中国联赛）、世界马球锦标赛、国际雪地马球赛、国际马联场地障碍世界杯（及中国站）；中国马术节CEF、全国速度赛马锦标赛、全国盛装舞步赛、全国马术场地障碍冠军赛（及分站赛）。二是展览类活动。中国国际马博览HORFA、中国国际马业马术展览会CHF。三是论坛类活动。中国马术运动发展论坛暨西部国际马术论坛。    </w:t>
      </w:r>
    </w:p>
    <w:p>
      <w:pPr>
        <w:ind w:firstLine="640" w:firstLineChars="200"/>
        <w:rPr>
          <w:rFonts w:hint="eastAsia" w:ascii="仿宋_GB2312" w:hAnsi="仿宋_GB2312" w:eastAsia="仿宋_GB2312" w:cs="仿宋_GB2312"/>
          <w:sz w:val="32"/>
          <w:szCs w:val="32"/>
        </w:rPr>
      </w:pPr>
      <w:bookmarkStart w:id="454" w:name="_Toc8546_WPSOffice_Level3"/>
      <w:bookmarkStart w:id="455" w:name="_Toc24993"/>
      <w:bookmarkStart w:id="456" w:name="_Toc18365"/>
      <w:bookmarkStart w:id="457" w:name="_Toc18601_WPSOffice_Level3"/>
      <w:bookmarkStart w:id="458" w:name="_Toc2630_WPSOffice_Level3"/>
      <w:bookmarkStart w:id="459" w:name="_Toc32463_WPSOffice_Level3"/>
      <w:bookmarkStart w:id="460" w:name="_Toc3651"/>
      <w:bookmarkStart w:id="461" w:name="_Toc17966"/>
      <w:r>
        <w:rPr>
          <w:rFonts w:hint="eastAsia" w:ascii="仿宋_GB2312" w:hAnsi="仿宋_GB2312" w:eastAsia="仿宋_GB2312" w:cs="仿宋_GB2312"/>
          <w:sz w:val="32"/>
          <w:szCs w:val="32"/>
        </w:rPr>
        <w:t>3、打造运动用马相关产业龙头企业</w:t>
      </w:r>
      <w:bookmarkEnd w:id="454"/>
      <w:bookmarkEnd w:id="455"/>
      <w:bookmarkEnd w:id="456"/>
      <w:bookmarkEnd w:id="457"/>
      <w:bookmarkEnd w:id="458"/>
      <w:bookmarkEnd w:id="459"/>
      <w:bookmarkEnd w:id="460"/>
      <w:bookmarkEnd w:id="461"/>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赛马运动与休闲乘骑在我国的兴起，需要进口和繁育大量优良的运动马匹，这样就会产生经济学中的棘轮效应，优良的马匹就要搭配高品质马用具、马饲料以及骑师的衣服和护具等，在我国的运动马中，这方面的需求都依赖进口，价格昂贵。马饲料中的燕麦要从国外进口，如果喂养进口马粮，成本会更高。因此，我市要利用悠久马文化优势和马饲料资源优势，加强对运动用马相关产业龙头企业的打造，对这些企业实施相关政策优惠和贷款帮扶政策，打造高品质的名牌产品，降低我市乃至我国马术俱乐部、马场、草原旅游景区和牧民养马、调教马的成本，增加他们的收入，提高积极性，为现代马产业发展服务。</w:t>
      </w:r>
    </w:p>
    <w:p>
      <w:pPr>
        <w:pStyle w:val="3"/>
        <w:ind w:firstLine="640" w:firstLineChars="200"/>
        <w:jc w:val="both"/>
        <w:rPr>
          <w:rFonts w:hint="eastAsia" w:ascii="仿宋_GB2312" w:hAnsi="仿宋_GB2312" w:eastAsia="仿宋_GB2312" w:cs="仿宋_GB2312"/>
          <w:b w:val="0"/>
          <w:bCs/>
          <w:sz w:val="32"/>
          <w:szCs w:val="32"/>
        </w:rPr>
      </w:pPr>
      <w:bookmarkStart w:id="462" w:name="_Toc31958"/>
      <w:bookmarkStart w:id="463" w:name="_Toc11983"/>
      <w:bookmarkStart w:id="464" w:name="_Toc31611"/>
      <w:bookmarkStart w:id="465" w:name="_Toc6546"/>
      <w:bookmarkStart w:id="466" w:name="_Toc6056"/>
      <w:bookmarkStart w:id="467" w:name="_Toc14458"/>
      <w:bookmarkStart w:id="468" w:name="_Toc31752_WPSOffice_Level2"/>
      <w:bookmarkStart w:id="469" w:name="_Toc3626"/>
      <w:bookmarkStart w:id="470" w:name="_Toc6606"/>
      <w:r>
        <w:rPr>
          <w:rFonts w:hint="eastAsia" w:ascii="楷体" w:hAnsi="楷体" w:cs="楷体"/>
          <w:b w:val="0"/>
          <w:bCs/>
          <w:sz w:val="32"/>
          <w:szCs w:val="32"/>
        </w:rPr>
        <w:t>（四）推进马文化与休闲旅游业的深度融合</w:t>
      </w:r>
      <w:bookmarkEnd w:id="462"/>
      <w:bookmarkEnd w:id="463"/>
      <w:bookmarkEnd w:id="464"/>
      <w:bookmarkEnd w:id="465"/>
      <w:bookmarkEnd w:id="466"/>
      <w:bookmarkEnd w:id="467"/>
      <w:bookmarkEnd w:id="468"/>
      <w:bookmarkEnd w:id="469"/>
      <w:bookmarkEnd w:id="470"/>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政府引导、企业运作、群众参与，建立马文化、马运动、马旅游平台，激发群众对马文化旅游的兴趣，营造全市范围马文化旅游氛围，培育马文化旅游消费市场。打造精品马文化旅游项目，塑造呼伦贝尔市马文化旅游品牌，促成马文化、蒙古马精神成为呼伦贝尔市的名片，形成文化旅游的核心竞争力，成为国家马文化旅游的领跑者。整合马文化资源，通过顶层设计，引导马文化旅游产业规范、高质、高效发展。力争到2025年，形成较为完善的马术赛事体系，打造2-3个马文化旅游精品项目。开发适宜发展骑乘旅游业的多条专门路线，形成以骑乘旅游为主的特色通道，通道沿途建成骑乘旅游商业一条街，鼓励周边农牧民参与进来，销售马奶、马肉等产品和马文化产品，既增加农牧民收入，也促进全市马产业发展。依托草原旅游、民俗旅游、边境口岸旅游等得天独厚的旅游资源，依托现有的马文化景区，以及相配套的马术表演、马球运动等马文化项目，推动马文化旅游休闲产业的繁荣发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视民族传统赛马等马术活动的传承和繁荣，培育壮大竞技马业，完善以蒙元文化为主的牧区旗县特色赛事及民俗体育项目活动，把民族传统赛事和国际性赛事有效结合，积累运营和管理经验，改善旅游基础设施条件和提升公共服务能力，形成专业化、产业化，打造马旅游休闲娱乐基地和马文化的示范区。</w:t>
      </w:r>
    </w:p>
    <w:p>
      <w:pPr>
        <w:pStyle w:val="3"/>
        <w:ind w:firstLine="640" w:firstLineChars="200"/>
        <w:jc w:val="both"/>
        <w:rPr>
          <w:rFonts w:hint="eastAsia" w:ascii="楷体" w:hAnsi="楷体" w:cs="楷体"/>
          <w:b w:val="0"/>
          <w:bCs/>
          <w:sz w:val="32"/>
          <w:szCs w:val="32"/>
        </w:rPr>
      </w:pPr>
      <w:bookmarkStart w:id="471" w:name="_Toc14232"/>
      <w:bookmarkStart w:id="472" w:name="_Toc24268"/>
      <w:bookmarkStart w:id="473" w:name="_Toc2716"/>
      <w:bookmarkStart w:id="474" w:name="_Toc18260"/>
      <w:bookmarkStart w:id="475" w:name="_Toc19052"/>
      <w:bookmarkStart w:id="476" w:name="_Toc16096"/>
      <w:bookmarkStart w:id="477" w:name="_Toc21638"/>
      <w:bookmarkStart w:id="478" w:name="_Toc23341_WPSOffice_Level2"/>
      <w:bookmarkStart w:id="479" w:name="_Toc13435"/>
      <w:r>
        <w:rPr>
          <w:rFonts w:hint="eastAsia" w:ascii="楷体" w:hAnsi="楷体" w:cs="楷体"/>
          <w:b w:val="0"/>
          <w:bCs/>
          <w:sz w:val="32"/>
          <w:szCs w:val="32"/>
        </w:rPr>
        <w:t>（五）弘扬马文化精神，助力马产业发展</w:t>
      </w:r>
      <w:bookmarkEnd w:id="471"/>
      <w:bookmarkEnd w:id="472"/>
      <w:bookmarkEnd w:id="473"/>
      <w:bookmarkEnd w:id="474"/>
      <w:bookmarkEnd w:id="475"/>
      <w:bookmarkEnd w:id="476"/>
      <w:bookmarkEnd w:id="477"/>
      <w:bookmarkEnd w:id="478"/>
      <w:bookmarkEnd w:id="479"/>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马文化产业的发展，应借鉴国内外体育产业园区的先进经验和开发模式，依托天然的草原区位优势和自然资源条件，进行科学的规划，借助马文化，积极开发马文化产业，延伸马文化产业链，形成以休闲体育、文化旅游为主要形式的马文化休闲产业群，让马文化成为我市新的经济增长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组织内蒙古马文化马产业发展论坛，对蒙古族人民与马的渊源与重要地位、内蒙古马文化马产业如何升级更快更好发展、传统马业如何向现代马业转变、如何发扬“蒙古马精神”、如何将音乐、舞蹈等多种艺术形式与马文化产业相融合发展等内容，进行多方面、多角度、多形式的深度交流与探讨。通过组织草原马文化民俗、传统马文化活动，鼓励群众参与到宣传发展草原文化的队列中，建构以草原文化为核心的休闲文化产业链。加大对草原文化和马文化的宣传力度，借助内蒙古广播电视台及新媒体通道，大量投放宣传广告，提高当地及全国乃至国际上的宣传影响力，使人们了解我市草原文化和马文化。举办马术比赛、赛马、射箭、坐勒勒车等马文化主题活动，开发草原风情游、草原那达慕等马文化产品，发展马头琴、马食品、马匹培育等衍生产业。打造马文化产业园区，不断提升我市马产业的知名度和影响力。利用马业博览会，全方位展示马产品、马运动用品、马术俱乐部、马艺术品及文化、马术赛事及旅游等方面的实物、影像、书籍资料。将马图书馆、博物馆建设纳入公共文化事业建设体系，增强马文化的宣传及对现代马业发展的促进作用，同时把旅游业作为是传承和弘扬马文化的主要载体。</w:t>
      </w:r>
    </w:p>
    <w:p>
      <w:pPr>
        <w:pStyle w:val="3"/>
        <w:ind w:firstLine="640" w:firstLineChars="200"/>
        <w:jc w:val="both"/>
        <w:rPr>
          <w:rFonts w:hint="eastAsia" w:ascii="楷体" w:hAnsi="楷体" w:cs="楷体"/>
          <w:b w:val="0"/>
          <w:bCs/>
          <w:sz w:val="32"/>
          <w:szCs w:val="32"/>
        </w:rPr>
      </w:pPr>
      <w:bookmarkStart w:id="480" w:name="_Toc5943"/>
      <w:bookmarkStart w:id="481" w:name="_Toc17931_WPSOffice_Level2"/>
      <w:bookmarkStart w:id="482" w:name="_Toc31777_WPSOffice_Level2"/>
      <w:bookmarkStart w:id="483" w:name="_Toc20847_WPSOffice_Level2"/>
      <w:bookmarkStart w:id="484" w:name="_Toc11216_WPSOffice_Level2"/>
      <w:bookmarkStart w:id="485" w:name="_Toc20420"/>
      <w:bookmarkStart w:id="486" w:name="_Toc31749_WPSOffice_Level2"/>
      <w:bookmarkStart w:id="487" w:name="_Toc18161"/>
      <w:bookmarkStart w:id="488" w:name="_Toc7634"/>
      <w:bookmarkStart w:id="489" w:name="_Toc14454"/>
      <w:bookmarkStart w:id="490" w:name="_Toc7854"/>
      <w:bookmarkStart w:id="491" w:name="_Toc2306"/>
      <w:bookmarkStart w:id="492" w:name="_Toc11726"/>
      <w:bookmarkStart w:id="493" w:name="_Toc11961"/>
      <w:bookmarkStart w:id="494" w:name="_Toc14668"/>
      <w:r>
        <w:rPr>
          <w:rFonts w:hint="eastAsia" w:ascii="楷体" w:hAnsi="楷体" w:cs="楷体"/>
          <w:b w:val="0"/>
          <w:bCs/>
          <w:sz w:val="32"/>
          <w:szCs w:val="32"/>
        </w:rPr>
        <w:t>（六）加强人才培养</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改变传统人才发展思路，制定人才优惠政策，将引进和培训相结合，将人才培养、培训产业化，将人才、培训服务商品化，将其作为我市现代马业产业化发展的有机构成，以人才培养、培训产业促进赛马、马术和娱乐骑乘用马市场的扩张，以马匹市场化推广带动现代马业人力资源市场发展。建立马产业培训中心，对马产业中所涉及的育种、繁殖、饲养管理、调教、疫病防治等相关人员进行系统的技术培训及资质认证，提高从业者专业素质。也应对我市获得优秀赛马比赛荣誉称号的训马师进行勋章激励、奖金激励，间接促成我市良种马的保种工作。</w:t>
      </w:r>
      <w:bookmarkStart w:id="495" w:name="_Toc21301"/>
      <w:bookmarkStart w:id="496" w:name="_Toc4867_WPSOffice_Level3"/>
      <w:bookmarkStart w:id="497" w:name="_Toc15236_WPSOffice_Level3"/>
      <w:bookmarkStart w:id="498" w:name="_Toc14044"/>
      <w:bookmarkStart w:id="499" w:name="_Toc24015_WPSOffice_Level3"/>
    </w:p>
    <w:p>
      <w:pPr>
        <w:ind w:firstLine="640" w:firstLineChars="200"/>
        <w:rPr>
          <w:rFonts w:hint="eastAsia" w:ascii="仿宋_GB2312" w:hAnsi="仿宋_GB2312" w:eastAsia="仿宋_GB2312" w:cs="仿宋_GB2312"/>
          <w:bCs/>
          <w:szCs w:val="32"/>
        </w:rPr>
      </w:pPr>
      <w:bookmarkStart w:id="500" w:name="_Toc22753"/>
      <w:bookmarkStart w:id="501" w:name="_Toc347"/>
      <w:bookmarkStart w:id="502" w:name="_Toc19277_WPSOffice_Level3"/>
      <w:r>
        <w:rPr>
          <w:rFonts w:hint="eastAsia" w:ascii="仿宋_GB2312" w:hAnsi="仿宋_GB2312" w:eastAsia="仿宋_GB2312" w:cs="仿宋_GB2312"/>
          <w:sz w:val="32"/>
          <w:szCs w:val="32"/>
        </w:rPr>
        <w:t>1、饲养及驯马人才基地建设</w:t>
      </w:r>
      <w:bookmarkEnd w:id="495"/>
      <w:bookmarkEnd w:id="496"/>
      <w:bookmarkEnd w:id="497"/>
      <w:bookmarkEnd w:id="498"/>
      <w:bookmarkEnd w:id="499"/>
      <w:bookmarkEnd w:id="500"/>
      <w:bookmarkEnd w:id="501"/>
      <w:bookmarkEnd w:id="502"/>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遵循“引进来”和 “走出去”相结合的培训方式，加大饲养及驯马人才基地建设，培养高端专业性的人才，逐步实现向我市乃至全国马场和俱乐部输出马术运动人才的目标。在呼伦贝尔职业技术学院设立相关专业，或将鄂温克职业中学马术专业等并入职业技术学院，作为一个系进行改造提升,与当地马术俱乐部、马场和国外知名马术学校联合办学，依照马产业多业态特点设置专业，培养专业骑手、训马师、马兽医、饲养师等专业性人才，聘请国际国内专家进行教学，定期遴选骑手赴知名马术学校学习、交流。此外，加强有关疾病防治、饲养、育种、繁殖等专业知识的培训，培养市场急需的马种繁育、产品开发、市场运作的专业人才。推进竞技马人才的产业化、商业化运营。</w:t>
      </w:r>
    </w:p>
    <w:p>
      <w:pPr>
        <w:ind w:firstLine="640" w:firstLineChars="200"/>
        <w:rPr>
          <w:rFonts w:hint="eastAsia" w:ascii="仿宋_GB2312" w:hAnsi="仿宋_GB2312" w:eastAsia="仿宋_GB2312" w:cs="仿宋_GB2312"/>
          <w:sz w:val="32"/>
          <w:szCs w:val="32"/>
        </w:rPr>
      </w:pPr>
      <w:bookmarkStart w:id="503" w:name="_Toc22906_WPSOffice_Level3"/>
      <w:bookmarkStart w:id="504" w:name="_Toc7572_WPSOffice_Level3"/>
      <w:bookmarkStart w:id="505" w:name="_Toc8783"/>
      <w:bookmarkStart w:id="506" w:name="_Toc17828"/>
      <w:bookmarkStart w:id="507" w:name="_Toc26491"/>
      <w:bookmarkStart w:id="508" w:name="_Toc27678_WPSOffice_Level3"/>
      <w:bookmarkStart w:id="509" w:name="_Toc522"/>
      <w:bookmarkStart w:id="510" w:name="_Toc22507_WPSOffice_Level3"/>
      <w:r>
        <w:rPr>
          <w:rFonts w:hint="eastAsia" w:ascii="仿宋_GB2312" w:hAnsi="仿宋_GB2312" w:eastAsia="仿宋_GB2312" w:cs="仿宋_GB2312"/>
          <w:sz w:val="32"/>
          <w:szCs w:val="32"/>
        </w:rPr>
        <w:t>2、马产业发展研究中心建设</w:t>
      </w:r>
      <w:bookmarkEnd w:id="503"/>
      <w:bookmarkEnd w:id="504"/>
      <w:bookmarkEnd w:id="505"/>
      <w:bookmarkEnd w:id="506"/>
      <w:bookmarkEnd w:id="507"/>
      <w:bookmarkEnd w:id="508"/>
      <w:bookmarkEnd w:id="509"/>
      <w:bookmarkEnd w:id="510"/>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一个综合性马产业研究中心，建立马品种登记室，规范马匹登记制度，与保种场、繁育基地、马场对接；建立马匹繁育研究室，联合区内科研院所、高校，与保种场、繁育基地对接；建立运动马性能测定室，参考国外运动马性能测定方法，制定我国运动马性能测定标准，与繁育基地、马场对接；建立运动马调教室，借鉴国内外运动马调教先进经验，制定科学的运动马调教方法体系，与繁育基地、马场对接；建立马产品研发室，鼓励成立企业化运作的研发实体，与马产品生产加工公司进行对接；建立马文化研究室，组织、参与马文化活动，推动全市马文化弘扬，推动旅游业发展。</w:t>
      </w:r>
    </w:p>
    <w:p>
      <w:pPr>
        <w:pStyle w:val="3"/>
        <w:ind w:firstLine="640" w:firstLineChars="200"/>
        <w:jc w:val="both"/>
        <w:rPr>
          <w:rFonts w:hint="eastAsia" w:ascii="楷体" w:hAnsi="楷体" w:cs="楷体"/>
          <w:b w:val="0"/>
          <w:sz w:val="32"/>
          <w:szCs w:val="32"/>
        </w:rPr>
      </w:pPr>
      <w:bookmarkStart w:id="511" w:name="_Toc7975"/>
      <w:bookmarkStart w:id="512" w:name="_Toc18212"/>
      <w:bookmarkStart w:id="513" w:name="_Toc26880"/>
      <w:bookmarkStart w:id="514" w:name="_Toc7195"/>
      <w:bookmarkStart w:id="515" w:name="_Toc30930"/>
      <w:bookmarkStart w:id="516" w:name="_Toc32126"/>
      <w:bookmarkStart w:id="517" w:name="_Toc21257"/>
      <w:bookmarkStart w:id="518" w:name="_Toc32010"/>
      <w:bookmarkStart w:id="519" w:name="_Toc22218_WPSOffice_Level2"/>
      <w:r>
        <w:rPr>
          <w:rFonts w:hint="eastAsia" w:ascii="楷体" w:hAnsi="楷体" w:cs="楷体"/>
          <w:b w:val="0"/>
          <w:bCs/>
          <w:sz w:val="32"/>
          <w:szCs w:val="32"/>
        </w:rPr>
        <w:t>（七）创新现代营销方式</w:t>
      </w:r>
      <w:bookmarkEnd w:id="511"/>
      <w:bookmarkEnd w:id="512"/>
      <w:bookmarkEnd w:id="513"/>
      <w:bookmarkEnd w:id="514"/>
      <w:bookmarkEnd w:id="515"/>
      <w:bookmarkEnd w:id="516"/>
      <w:bookmarkEnd w:id="517"/>
      <w:bookmarkEnd w:id="518"/>
      <w:bookmarkEnd w:id="519"/>
    </w:p>
    <w:p>
      <w:pPr>
        <w:tabs>
          <w:tab w:val="left" w:pos="2095"/>
        </w:tabs>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解决马产业发展中的小生产和大市场之间的长期矛盾，必须探索创新现代马产业营销方式。以马产业龙头企业（加工企业、科技企业、马业俱乐部等）为主体，搭建现代马产业交易平台，作为连接马产业链上各环节与市场之间的桥梁纽带。首先采取订单、合同销售方式，将马业供给和需求有效衔接。马产业链各环节按照订单、合同内容进行生产和提供服务，稳定了市场价格，降低了市场风险，是促进马产业链各环节增收的重要保障。第二，采取直销的方式，马产业链各环节依据现代马业交易平台，直接面向消费者销售马产品和提供骑乘等服务，减少了市场环节，降低了交易费用，是保障马产业各环节增收的重要销售方式。第三，依托现代马业交易平台，采取拍卖的方式，谋求获得较高的市场价格，以增加马产业链各环节的效益。同时，通过拍卖还可以扩大产品和服务的知名度，是塑造马产品和服务品牌不可或缺的重要环节。第四，依托现代马业交易平台，采取期货的方式销售马产品和服务。现代马产业交易平台积极与“大交所”、“郑交所”沟通协调，力争设立马产品和服务的期货板块，使马产业链各环节能够观测到预期收益，扩大马产品和服务的影响，保证增加收益。第五，现代马产业交易平台与京东、淘宝、唯品会等电商沟通衔接，为消费者提供高质量的马产品和服务。鼓励马产业链各环节通过现代马产业交易平台建立微商，作为马产品和服务营销方式的有益补充</w:t>
      </w:r>
      <w:bookmarkEnd w:id="308"/>
      <w:bookmarkEnd w:id="309"/>
      <w:bookmarkEnd w:id="310"/>
      <w:bookmarkEnd w:id="311"/>
      <w:bookmarkEnd w:id="312"/>
      <w:bookmarkStart w:id="520" w:name="_Toc15311_WPSOffice_Level1"/>
      <w:bookmarkStart w:id="521" w:name="_Toc32276"/>
      <w:bookmarkStart w:id="522" w:name="_Toc28571"/>
      <w:bookmarkStart w:id="523" w:name="_Toc31096_WPSOffice_Level1"/>
      <w:bookmarkStart w:id="524" w:name="_Toc17946_WPSOffice_Level1"/>
      <w:bookmarkStart w:id="525" w:name="_Toc3736"/>
      <w:bookmarkStart w:id="526" w:name="_Toc21440"/>
      <w:bookmarkStart w:id="527" w:name="_Toc29367_WPSOffice_Level1"/>
      <w:bookmarkStart w:id="528" w:name="_Toc27173_WPSOffice_Level1"/>
      <w:bookmarkStart w:id="529" w:name="_Toc5939_WPSOffice_Level1"/>
      <w:bookmarkStart w:id="530" w:name="_Toc24993_WPSOffice_Level1"/>
      <w:r>
        <w:rPr>
          <w:rFonts w:hint="eastAsia" w:ascii="仿宋_GB2312" w:hAnsi="仿宋_GB2312" w:eastAsia="仿宋_GB2312" w:cs="仿宋_GB2312"/>
          <w:color w:val="000000"/>
          <w:sz w:val="32"/>
          <w:szCs w:val="32"/>
        </w:rPr>
        <w:t>。</w:t>
      </w:r>
    </w:p>
    <w:p>
      <w:pPr>
        <w:pStyle w:val="3"/>
        <w:ind w:firstLine="640" w:firstLineChars="200"/>
        <w:rPr>
          <w:rFonts w:hint="eastAsia" w:ascii="楷体" w:hAnsi="楷体" w:cs="楷体"/>
          <w:b w:val="0"/>
          <w:szCs w:val="32"/>
        </w:rPr>
      </w:pPr>
      <w:bookmarkStart w:id="531" w:name="_Toc8938"/>
      <w:bookmarkStart w:id="532" w:name="_Toc13383"/>
      <w:bookmarkStart w:id="533" w:name="_Toc32239"/>
      <w:bookmarkStart w:id="534" w:name="_Toc31989"/>
      <w:bookmarkStart w:id="535" w:name="_Toc22116"/>
      <w:bookmarkStart w:id="536" w:name="_Toc27755"/>
      <w:bookmarkStart w:id="537" w:name="_Toc20516"/>
      <w:bookmarkStart w:id="538" w:name="_Toc26650"/>
      <w:bookmarkStart w:id="539" w:name="_Toc25792_WPSOffice_Level2"/>
      <w:r>
        <w:rPr>
          <w:rFonts w:hint="eastAsia" w:ascii="楷体" w:hAnsi="楷体" w:cs="楷体"/>
          <w:b w:val="0"/>
          <w:bCs/>
          <w:sz w:val="32"/>
          <w:szCs w:val="32"/>
        </w:rPr>
        <w:t>（八）建设马专用饲料生产加工基地</w:t>
      </w:r>
      <w:bookmarkEnd w:id="531"/>
      <w:bookmarkEnd w:id="532"/>
      <w:bookmarkEnd w:id="533"/>
      <w:bookmarkEnd w:id="534"/>
      <w:bookmarkEnd w:id="535"/>
      <w:bookmarkEnd w:id="536"/>
      <w:bookmarkEnd w:id="537"/>
      <w:bookmarkEnd w:id="538"/>
      <w:bookmarkEnd w:id="539"/>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府通过招商和制定优惠政策，引进饲料生产加工企业和国外马饲料生产加工先进技术，建成我市马专用饲料生产加工基地。实现就地取材、低价人工成本生产马专用饲料，降低马主的马匹饲养成本。成立马饲料科研室，通过对马饲料中的蛋白质、维生素、微生物、有害物质等检测研究，分析马饲料营养成分比例，开发适合马匹生长阶段的各类饲料。建设马饲料车间、原料库、成品库、化验室等基础设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力推进马专用饲料生产加工基地建设，促进马产业向规模化、集约化和现代化方向发展。马专用饲料产业的发展，将提高我市优良马匹输出率，增强马产品竞争实力，实现农牧民及养殖大户增收，带动我市马业养殖、加工、医药等相关产业的发展，提升我市马产业相关企业综合实力。到2025年，基本建成一个马专用饲料生产加工企业，打造“呼伦贝尔牌”马专用饲料生产加工优质品牌。</w:t>
      </w:r>
    </w:p>
    <w:p>
      <w:pPr>
        <w:pStyle w:val="2"/>
        <w:ind w:firstLine="640" w:firstLineChars="200"/>
        <w:jc w:val="both"/>
        <w:rPr>
          <w:rFonts w:hint="eastAsia" w:ascii="黑体" w:hAnsi="黑体" w:eastAsia="黑体" w:cs="黑体"/>
          <w:b w:val="0"/>
          <w:bCs/>
          <w:sz w:val="32"/>
          <w:szCs w:val="32"/>
        </w:rPr>
      </w:pPr>
      <w:bookmarkStart w:id="540" w:name="_Toc26797"/>
      <w:bookmarkStart w:id="541" w:name="_Toc16573_WPSOffice_Level1"/>
      <w:bookmarkStart w:id="542" w:name="_Toc11392"/>
      <w:bookmarkStart w:id="543" w:name="_Toc8159"/>
      <w:bookmarkStart w:id="544" w:name="_Toc1869"/>
      <w:bookmarkStart w:id="545" w:name="_Toc9256"/>
      <w:bookmarkStart w:id="546" w:name="_Toc10940"/>
      <w:bookmarkStart w:id="547" w:name="_Toc32206"/>
      <w:bookmarkStart w:id="548" w:name="_Toc11527"/>
      <w:r>
        <w:rPr>
          <w:rFonts w:hint="eastAsia" w:ascii="黑体" w:hAnsi="黑体" w:eastAsia="黑体" w:cs="黑体"/>
          <w:b w:val="0"/>
          <w:bCs/>
          <w:sz w:val="32"/>
          <w:szCs w:val="32"/>
        </w:rPr>
        <w:t>五、市场需求及预期效益</w:t>
      </w:r>
      <w:bookmarkEnd w:id="540"/>
      <w:bookmarkEnd w:id="541"/>
      <w:bookmarkEnd w:id="542"/>
      <w:bookmarkEnd w:id="543"/>
      <w:bookmarkEnd w:id="544"/>
      <w:bookmarkEnd w:id="545"/>
      <w:bookmarkEnd w:id="546"/>
      <w:bookmarkEnd w:id="547"/>
      <w:bookmarkEnd w:id="548"/>
    </w:p>
    <w:p>
      <w:pPr>
        <w:pStyle w:val="3"/>
        <w:ind w:firstLine="640" w:firstLineChars="200"/>
        <w:jc w:val="both"/>
        <w:rPr>
          <w:rFonts w:hint="eastAsia" w:ascii="楷体" w:hAnsi="楷体" w:cs="楷体"/>
          <w:b w:val="0"/>
          <w:bCs/>
          <w:sz w:val="32"/>
          <w:szCs w:val="32"/>
        </w:rPr>
      </w:pPr>
      <w:bookmarkStart w:id="549" w:name="_Toc19949_WPSOffice_Level2"/>
      <w:bookmarkStart w:id="550" w:name="_Toc18473"/>
      <w:bookmarkStart w:id="551" w:name="_Toc3767_WPSOffice_Level2"/>
      <w:bookmarkStart w:id="552" w:name="_Toc17501"/>
      <w:bookmarkStart w:id="553" w:name="_Toc11824"/>
      <w:bookmarkStart w:id="554" w:name="_Toc15973"/>
      <w:bookmarkStart w:id="555" w:name="_Toc584"/>
      <w:bookmarkStart w:id="556" w:name="_Toc7544_WPSOffice_Level2"/>
      <w:bookmarkStart w:id="557" w:name="_Toc21899"/>
      <w:bookmarkStart w:id="558" w:name="_Toc2051"/>
      <w:bookmarkStart w:id="559" w:name="_Toc8602_WPSOffice_Level2"/>
      <w:bookmarkStart w:id="560" w:name="_Toc32222"/>
      <w:bookmarkStart w:id="561" w:name="_Toc8758"/>
      <w:bookmarkStart w:id="562" w:name="_Toc4551"/>
      <w:bookmarkStart w:id="563" w:name="_Toc608_WPSOffice_Level2"/>
      <w:r>
        <w:rPr>
          <w:rFonts w:hint="eastAsia" w:ascii="楷体" w:hAnsi="楷体" w:cs="楷体"/>
          <w:b w:val="0"/>
          <w:bCs/>
          <w:sz w:val="32"/>
          <w:szCs w:val="32"/>
        </w:rPr>
        <w:t>（一）市场需求</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ind w:firstLine="640" w:firstLineChars="200"/>
        <w:rPr>
          <w:rFonts w:hint="eastAsia" w:ascii="仿宋_GB2312" w:hAnsi="仿宋_GB2312" w:eastAsia="仿宋_GB2312" w:cs="仿宋_GB2312"/>
          <w:sz w:val="32"/>
          <w:szCs w:val="32"/>
        </w:rPr>
      </w:pPr>
      <w:bookmarkStart w:id="564" w:name="_Toc10326_WPSOffice_Level3"/>
      <w:bookmarkStart w:id="565" w:name="_Toc7125"/>
      <w:bookmarkStart w:id="566" w:name="_Toc5149"/>
      <w:bookmarkStart w:id="567" w:name="_Toc4780_WPSOffice_Level3"/>
      <w:bookmarkStart w:id="568" w:name="_Toc22729"/>
      <w:bookmarkStart w:id="569" w:name="_Toc16471"/>
      <w:r>
        <w:rPr>
          <w:rFonts w:hint="eastAsia" w:ascii="仿宋_GB2312" w:hAnsi="仿宋_GB2312" w:eastAsia="仿宋_GB2312" w:cs="仿宋_GB2312"/>
          <w:sz w:val="32"/>
          <w:szCs w:val="32"/>
        </w:rPr>
        <w:t>1、马产品</w:t>
      </w:r>
      <w:bookmarkEnd w:id="564"/>
      <w:bookmarkEnd w:id="565"/>
      <w:bookmarkEnd w:id="566"/>
      <w:bookmarkEnd w:id="567"/>
      <w:bookmarkEnd w:id="568"/>
      <w:bookmarkEnd w:id="569"/>
    </w:p>
    <w:p>
      <w:pPr>
        <w:tabs>
          <w:tab w:val="left" w:pos="2095"/>
        </w:tabs>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kern w:val="0"/>
          <w:sz w:val="32"/>
          <w:szCs w:val="32"/>
        </w:rPr>
        <w:t>随着经济社会的发展和人们生活水平的提高，人们对美容、保健、养生、营养以及安全提出了更高的要求，马奶、马肉、马血清等成为广大消费者信赖的产品。马肉有着独特的营养价值，近年来，国际市场对马肉的需求不断增长，成为最畅销的肉类之一。我国马的品种多</w:t>
      </w:r>
      <w:bookmarkStart w:id="570" w:name="_Toc9491"/>
      <w:bookmarkStart w:id="571" w:name="_Toc32072_WPSOffice_Level2"/>
      <w:bookmarkStart w:id="572" w:name="_Toc23952"/>
      <w:bookmarkStart w:id="573" w:name="_Toc22266_WPSOffice_Level2"/>
      <w:bookmarkStart w:id="574" w:name="_Toc10013_WPSOffice_Level2"/>
      <w:bookmarkStart w:id="575" w:name="_Toc23336_WPSOffice_Level2"/>
      <w:r>
        <w:rPr>
          <w:rFonts w:hint="eastAsia" w:ascii="仿宋_GB2312" w:hAnsi="仿宋_GB2312" w:eastAsia="仿宋_GB2312" w:cs="仿宋_GB2312"/>
          <w:kern w:val="0"/>
          <w:sz w:val="32"/>
          <w:szCs w:val="32"/>
        </w:rPr>
        <w:t>达数十种，马肉作为家畜肉类，马肉制品开发时间还不是很长，在整个肉类加工中所占比例不大，但由于其具有独特的营养和风味，必将为越来越多的人所喜爱。2018年全市马肉总产量仅为</w:t>
      </w:r>
      <w:r>
        <w:rPr>
          <w:rFonts w:hint="eastAsia" w:ascii="仿宋_GB2312" w:hAnsi="仿宋_GB2312" w:eastAsia="仿宋_GB2312" w:cs="仿宋_GB2312"/>
          <w:color w:val="000000"/>
          <w:kern w:val="0"/>
          <w:sz w:val="32"/>
          <w:szCs w:val="32"/>
        </w:rPr>
        <w:t>12153</w:t>
      </w:r>
      <w:r>
        <w:rPr>
          <w:rFonts w:hint="eastAsia" w:ascii="仿宋_GB2312" w:hAnsi="仿宋_GB2312" w:eastAsia="仿宋_GB2312" w:cs="仿宋_GB2312"/>
          <w:kern w:val="0"/>
          <w:sz w:val="32"/>
          <w:szCs w:val="32"/>
        </w:rPr>
        <w:t>吨，</w:t>
      </w:r>
      <w:r>
        <w:rPr>
          <w:rFonts w:hint="eastAsia" w:ascii="仿宋_GB2312" w:hAnsi="仿宋_GB2312" w:eastAsia="仿宋_GB2312" w:cs="仿宋_GB2312"/>
          <w:color w:val="000000"/>
          <w:kern w:val="0"/>
          <w:sz w:val="32"/>
          <w:szCs w:val="32"/>
        </w:rPr>
        <w:t>总体来说产量较低，无法满足市场需求，以及消费者对产品多样性的需求。</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俄罗斯一些真空包装的“熏马肉”、“熏马肠”等产品已打入京津等地市场，受到广大消费者的青睐，说明其市场潜力巨大。国外已经对马乳进行了广泛的研究和利用，深受消费者的欢迎。而在我国马乳的开发利用仍处于初探阶段，国内并没有知名的马乳生产企业。随着马乳营养知识的普及、国民保健意识的增强、旅游业的发展以及各民族饮食文化的相互交融，对马乳和马乳制品的需求必将进一步扩大，其市场潜力不可限量。马乳属特色乳，在内地市场、尤其是南方市场，马乳制品具有广阔的拓展空间。 国内大部分省区受资源限制没有条件进行马乳的规模化生产，这也在客观上为全市发展马乳产业提供了契机。</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孕马血清促性腺激素的供应在国内外都因孕马血清资源有限，生产量始终无法满足市场需要。目前我国奶牛场、养猪场等有40%使用孕马血清促性腺激素进行诱导发情和超数排卵处理，市场用途广泛。2018年牧业年度，全市马存栏23.36万匹，能繁母马10.58万匹，是生产孕马血清、马乳的雄厚资源。</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2015年自治区统计数据显示，我区马肉年人均消费量为6.82kg/人，而马肉产量6.35万吨，人均拥有量不足2kg。除了马奶、马肉传统马产品，马生物制品的生产量也远远满足不了市内外日益增长的马生物制品市场需求，发展空间巨大。</w:t>
      </w:r>
    </w:p>
    <w:p>
      <w:pPr>
        <w:ind w:firstLine="640" w:firstLineChars="200"/>
        <w:rPr>
          <w:rFonts w:hint="eastAsia" w:ascii="仿宋_GB2312" w:hAnsi="仿宋_GB2312" w:eastAsia="仿宋_GB2312" w:cs="仿宋_GB2312"/>
          <w:sz w:val="32"/>
          <w:szCs w:val="32"/>
        </w:rPr>
      </w:pPr>
      <w:bookmarkStart w:id="576" w:name="_Toc18820"/>
      <w:bookmarkStart w:id="577" w:name="_Toc3860"/>
      <w:bookmarkStart w:id="578" w:name="_Toc9713_WPSOffice_Level3"/>
      <w:bookmarkStart w:id="579" w:name="_Toc27560"/>
      <w:bookmarkStart w:id="580" w:name="_Toc11942_WPSOffice_Level3"/>
      <w:bookmarkStart w:id="581" w:name="_Toc32682"/>
      <w:r>
        <w:rPr>
          <w:rFonts w:hint="eastAsia" w:ascii="仿宋_GB2312" w:hAnsi="仿宋_GB2312" w:eastAsia="仿宋_GB2312" w:cs="仿宋_GB2312"/>
          <w:sz w:val="32"/>
          <w:szCs w:val="32"/>
        </w:rPr>
        <w:t>2、马匹销售数量</w:t>
      </w:r>
      <w:bookmarkEnd w:id="576"/>
      <w:bookmarkEnd w:id="577"/>
      <w:bookmarkEnd w:id="578"/>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马匹销售在我市马产业中有着重要地位，是牧民收入的主要来源之一，也占市场交易的一大部分，2016年全市马匹销售数量为64656匹，占2016年马匹存栏量的30.9%，2017年全市马匹销售数量上升为90674匹，占2017年马匹存栏量的比重增加了16.6%，说明马匹销售市场有着强劲的上升势头，市场需求在逐步扩大，对消费者的吸引力上升，可以为呼我市带来巨大的经济效益。</w:t>
      </w:r>
    </w:p>
    <w:p>
      <w:pPr>
        <w:ind w:firstLine="640" w:firstLineChars="200"/>
        <w:rPr>
          <w:rFonts w:hint="eastAsia" w:ascii="仿宋_GB2312" w:hAnsi="仿宋_GB2312" w:eastAsia="仿宋_GB2312" w:cs="仿宋_GB2312"/>
          <w:sz w:val="32"/>
          <w:szCs w:val="32"/>
        </w:rPr>
      </w:pPr>
      <w:bookmarkStart w:id="582" w:name="_Toc12672_WPSOffice_Level3"/>
      <w:bookmarkStart w:id="583" w:name="_Toc14809"/>
      <w:bookmarkStart w:id="584" w:name="_Toc13025"/>
      <w:r>
        <w:rPr>
          <w:rFonts w:hint="eastAsia" w:ascii="仿宋_GB2312" w:hAnsi="仿宋_GB2312" w:eastAsia="仿宋_GB2312" w:cs="仿宋_GB2312"/>
          <w:sz w:val="32"/>
          <w:szCs w:val="32"/>
        </w:rPr>
        <w:t>3、体育休闲骑乘</w:t>
      </w:r>
      <w:bookmarkEnd w:id="579"/>
      <w:bookmarkEnd w:id="580"/>
      <w:bookmarkEnd w:id="581"/>
      <w:bookmarkEnd w:id="582"/>
      <w:bookmarkEnd w:id="583"/>
      <w:bookmarkEnd w:id="584"/>
    </w:p>
    <w:p>
      <w:pPr>
        <w:ind w:firstLine="640" w:firstLineChars="200"/>
        <w:rPr>
          <w:rFonts w:hint="eastAsia" w:ascii="仿宋_GB2312" w:hAnsi="仿宋_GB2312" w:eastAsia="仿宋_GB2312" w:cs="仿宋_GB2312"/>
          <w:bCs/>
          <w:kern w:val="0"/>
          <w:sz w:val="32"/>
          <w:szCs w:val="32"/>
        </w:rPr>
      </w:pPr>
      <w:r>
        <w:rPr>
          <w:rFonts w:hint="eastAsia" w:ascii="仿宋_GB2312" w:hAnsi="仿宋_GB2312" w:eastAsia="仿宋_GB2312" w:cs="仿宋_GB2312"/>
          <w:kern w:val="0"/>
          <w:sz w:val="32"/>
          <w:szCs w:val="32"/>
        </w:rPr>
        <w:t>一方面，大中城市爱马人士急剧增多，以及国内马术俱乐部的发展，增大了对马术休闲马的需求。根据中国马术协会官方媒体发布数据：2016年12月30日全国有马术俱乐部832家，较上一年大幅增加，马匹均有量51匹，休闲娱乐马场4382家，马术俱乐部和休闲娱乐马场已经成为居民和游客度假的热点场所。</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另一方面，各地举办的赛马赛事对运动马的需求日益增长，一是部分地区政府举办的赛事。二是行业协会积极组织举办各类赛马赛事，推动以赛马为龙头的现代马产业发展。</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近年来，自治区结合休闲、旅游业创办了各类赛马赛事，对运动赛马的需求日益增大。据畜牧部门不完全统计，2016年自治区各级赛马赛事、那达慕活动参赛马匹共11972匹，其中耐力赛5013匹，赛事发展对运动马的需求逐步增大。</w:t>
      </w:r>
    </w:p>
    <w:p>
      <w:pPr>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rPr>
        <w:t>随着我国社会经济和文化的发展，人类不仅满足于物质文明的需要，更需要丰富的精神文明。因此，人们需要更多的体育和娱乐活动，赛马、马术及马术运动、马上休闲娱乐活动丰富了人们的这种时代需求。</w:t>
      </w:r>
    </w:p>
    <w:p>
      <w:pPr>
        <w:ind w:firstLine="640" w:firstLineChars="200"/>
        <w:rPr>
          <w:rFonts w:hint="eastAsia" w:ascii="仿宋_GB2312" w:hAnsi="仿宋_GB2312" w:eastAsia="仿宋_GB2312" w:cs="仿宋_GB2312"/>
          <w:sz w:val="32"/>
          <w:szCs w:val="32"/>
        </w:rPr>
      </w:pPr>
      <w:bookmarkStart w:id="585" w:name="_Toc28716_WPSOffice_Level3"/>
      <w:bookmarkStart w:id="586" w:name="_Toc4685"/>
      <w:bookmarkStart w:id="587" w:name="_Toc15278_WPSOffice_Level3"/>
      <w:bookmarkStart w:id="588" w:name="_Toc26489"/>
      <w:bookmarkStart w:id="589" w:name="_Toc31193"/>
      <w:bookmarkStart w:id="590" w:name="_Toc6623"/>
      <w:r>
        <w:rPr>
          <w:rFonts w:hint="eastAsia" w:ascii="仿宋_GB2312" w:hAnsi="仿宋_GB2312" w:eastAsia="仿宋_GB2312" w:cs="仿宋_GB2312"/>
          <w:sz w:val="32"/>
          <w:szCs w:val="32"/>
        </w:rPr>
        <w:t>4、马文化传播</w:t>
      </w:r>
      <w:bookmarkEnd w:id="585"/>
      <w:bookmarkEnd w:id="586"/>
      <w:bookmarkEnd w:id="587"/>
      <w:bookmarkEnd w:id="588"/>
      <w:bookmarkEnd w:id="589"/>
      <w:bookmarkEnd w:id="590"/>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马是作为“马背民族”蒙古民族的文化象征和民族精神的体现。蒙古马体魄强健、生命力强、耐力强,发扬和传播马文化代表着草原人民戍边卫国、自强不息、奋斗不止,是“蒙古马精神”的传达。就像我市每年举办的那达慕大会和万马奔腾节，都是马文化的体现。但是至今在内蒙古地区马文化仅仅作为蒙古民族自身单文化在本民族内进行传播，并没有将其作为民族特色向大众推广。</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以“道路自信、理论自信、制度自信、文化自信”为特点的中华民族伟大复兴的逐步实现，弘扬马文化的客观需求日益迫切。深入挖掘蒙古马文化底蕴,树立民族文化品牌、建设民族文化大区是弘扬马文化的重要环节。</w:t>
      </w:r>
    </w:p>
    <w:p>
      <w:pPr>
        <w:ind w:firstLine="640" w:firstLineChars="200"/>
        <w:rPr>
          <w:rFonts w:hint="eastAsia" w:ascii="仿宋_GB2312" w:hAnsi="仿宋_GB2312" w:eastAsia="仿宋_GB2312" w:cs="仿宋_GB2312"/>
          <w:sz w:val="32"/>
          <w:szCs w:val="32"/>
        </w:rPr>
      </w:pPr>
      <w:bookmarkStart w:id="591" w:name="_Toc4609"/>
      <w:bookmarkStart w:id="592" w:name="_Toc9676"/>
      <w:bookmarkStart w:id="593" w:name="_Toc25331"/>
      <w:bookmarkStart w:id="594" w:name="_Toc24729_WPSOffice_Level3"/>
      <w:bookmarkStart w:id="595" w:name="_Toc22296"/>
      <w:bookmarkStart w:id="596" w:name="_Toc15313_WPSOffice_Level3"/>
      <w:r>
        <w:rPr>
          <w:rFonts w:hint="eastAsia" w:ascii="仿宋_GB2312" w:hAnsi="仿宋_GB2312" w:eastAsia="仿宋_GB2312" w:cs="仿宋_GB2312"/>
          <w:sz w:val="32"/>
          <w:szCs w:val="32"/>
        </w:rPr>
        <w:t>5、旅游业</w:t>
      </w:r>
      <w:bookmarkEnd w:id="591"/>
      <w:bookmarkEnd w:id="592"/>
      <w:bookmarkEnd w:id="593"/>
      <w:bookmarkEnd w:id="594"/>
      <w:bookmarkEnd w:id="595"/>
      <w:bookmarkEnd w:id="596"/>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文化与旅游的密切结合和深度融合发展成为当今时代发展的一大内容和特色。我市依托其特有的民族文化和草原自然风光为平台，使当地的马文化为主题的休闲旅游产业得到了长足发展，并成为该地区的朝阳产业。2018年全市AAA级景区有16个，AAAA级景区有14个，AAAAA级景区有1个，这些景区共接待了1717.25万人，获得旅游收入525.4亿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人们收入水平的不断提高，以及交通条件的便捷，人们对品质旅游表现出强烈的需求，休闲旅游市场也在逐渐成熟。人们为了增强体质、充实业余生活，利用马来开展马术运动、休闲骑乘、骑马体疗（娱乐健身）等，涉马医疗保健养生消费逐渐成为时尚和消费新趋势，这为融合了马文化在内的呼伦贝尔市休闲旅游产业发展创造了前所未有的机遇。我市美丽的草原自然风光、古朴的蒙古族风情以及独特的生产生活方式、深厚的马文化底蕴，再加上众多的文物古迹和宜人的避暑气候，都为其旅游业的发展打下了坚实的基础。旅游文化品牌的打造将成为展示和弘扬我市优秀民族文化的重要载体，实现旅游产业与文化产业的良性互动，确立呼伦贝尔市中国马产业的中心地位，引领大草原旅游业的发展，提高我市的知名度和影响力，极大地提高其文化的层次和品位，是对外交往、展示其旅游目的地形象极好的名片。</w:t>
      </w:r>
    </w:p>
    <w:bookmarkEnd w:id="570"/>
    <w:bookmarkEnd w:id="571"/>
    <w:bookmarkEnd w:id="572"/>
    <w:bookmarkEnd w:id="573"/>
    <w:bookmarkEnd w:id="574"/>
    <w:bookmarkEnd w:id="575"/>
    <w:p>
      <w:pPr>
        <w:pStyle w:val="3"/>
        <w:ind w:firstLine="640" w:firstLineChars="200"/>
        <w:jc w:val="both"/>
        <w:rPr>
          <w:rFonts w:hint="eastAsia" w:ascii="楷体" w:hAnsi="楷体" w:cs="楷体"/>
          <w:b w:val="0"/>
          <w:bCs/>
          <w:sz w:val="32"/>
          <w:szCs w:val="32"/>
        </w:rPr>
      </w:pPr>
      <w:bookmarkStart w:id="597" w:name="_Toc15719"/>
      <w:bookmarkStart w:id="598" w:name="_Toc18166"/>
      <w:bookmarkStart w:id="599" w:name="_Toc12329"/>
      <w:bookmarkStart w:id="600" w:name="_Toc8177"/>
      <w:bookmarkStart w:id="601" w:name="_Toc18427"/>
      <w:bookmarkStart w:id="602" w:name="_Toc21876_WPSOffice_Level2"/>
      <w:bookmarkStart w:id="603" w:name="_Toc7769"/>
      <w:bookmarkStart w:id="604" w:name="_Toc162"/>
      <w:bookmarkStart w:id="605" w:name="_Toc22064"/>
      <w:r>
        <w:rPr>
          <w:rFonts w:hint="eastAsia" w:ascii="楷体" w:hAnsi="楷体" w:cs="楷体"/>
          <w:b w:val="0"/>
          <w:bCs/>
          <w:sz w:val="32"/>
          <w:szCs w:val="32"/>
        </w:rPr>
        <w:t>（二）预期效益</w:t>
      </w:r>
      <w:bookmarkEnd w:id="597"/>
      <w:bookmarkEnd w:id="598"/>
      <w:bookmarkEnd w:id="599"/>
      <w:bookmarkEnd w:id="600"/>
      <w:bookmarkEnd w:id="601"/>
      <w:bookmarkEnd w:id="602"/>
      <w:bookmarkEnd w:id="603"/>
      <w:bookmarkEnd w:id="604"/>
      <w:bookmarkEnd w:id="605"/>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年来，我市旅游业呈现多渠道投入，多元化发展势头，旅游客源市场逐步扩大。良好的旅游资源优势为我市马产业的发展提供了充分的空间，观光马道、游牧体验、民族式的赛马节目、增加特色的马奶制品种类将成为吸引游客的又一亮点，让旅游业带动马产业，马产业助力旅游业不失为一个良好办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市有丰富的旅游景点，能够吸引大量游客，门票、项目类的旅游收入将会持续上升，到2025年，门票、项目类的旅游收入预计800万元/天，所吸引的旅游人次预计达到2354万人。从发展上看，马文化旅游产业收益有很好的基础和提升空间，上升势头强劲。并且我市还通过发展休闲娱乐、观赏以及相关民族工艺品和纪念品开发，特色服饰制作、饮食加工等方面来提升马文化旅游产业的经济效益。</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以2018年马肉、马奶30元/斤的单价计算，预计2025年马产品中马肉、马奶收入达到25516.5万元、19623万元。从数字</w:t>
      </w:r>
      <w:r>
        <w:rPr>
          <w:rFonts w:hint="eastAsia" w:ascii="仿宋_GB2312" w:hAnsi="仿宋_GB2312" w:eastAsia="仿宋_GB2312" w:cs="仿宋_GB2312"/>
          <w:spacing w:val="8"/>
          <w:sz w:val="32"/>
          <w:szCs w:val="32"/>
        </w:rPr>
        <w:t>上看说明马产品的市场需求还有很大的上升空间，其市场潜力巨大。</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每匹马6000元的单价计算，到2025年马匹销售收入将达到44642.24万元，占到总收入的6.5%，还有很大的提升空间，从马匹销售数量持续上升的情况来看，马匹销售收入未来将会呈现急速上升趋势，收入占比持续增加。</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娱乐活动马术表演、比赛、马术俱乐部分别按照每人每年500元、1500元计算，接待人次按照旅游人数的3%、0.6%计算，2025年的接待人次为70.62万人次、14.124万人次，收入为35310万元、21186万元。从整体上看，这种娱乐休闲活动对大众的吸引力越来越大，为我市增加了经济效益。</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我市旅游业的发展，会带动住宿和餐饮行业大幅度提升，在2019-2025年收入会持续上升，未来预计也将呈上升趋势。到2025年，住宿、餐饮接待人数分别预计为总旅游人数的7%、11%，2025年的住宿、餐饮接待人数为164.78人次，258.94万人次；住宿、餐饮每人每年200元、</w:t>
      </w:r>
      <w:r>
        <w:rPr>
          <w:rFonts w:hint="eastAsia" w:ascii="仿宋_GB2312" w:hAnsi="仿宋_GB2312" w:eastAsia="仿宋_GB2312" w:cs="仿宋_GB2312"/>
          <w:spacing w:val="-6"/>
          <w:sz w:val="32"/>
          <w:szCs w:val="32"/>
        </w:rPr>
        <w:t>300元预计2025年住宿、餐饮收入为32956万元、77682万元。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随着旅游人数的增加，其他消费例如马工艺品、马纪念品在2019年到2025年所产生的收入预计也将上升。预估这些消费每人每年将会花费200元，消费人群为旅游人数的7%，则2025年其他消费收入为32956万元。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一个马饲料加工企业预估需要1538.22万元，预计2025年呼伦贝尔马专用饲料加工企业有一个，收入预计稳定在2000万元左右，税费预计578.5万元。可见呼伦贝尔马专用饲料生产加工企业为我市带来了较好的经济效益。但主题公园、知识竞赛、博物馆以弘扬马文化为宗旨，并不产生实际收入。</w:t>
      </w:r>
    </w:p>
    <w:p>
      <w:pPr>
        <w:ind w:firstLine="640" w:firstLineChars="200"/>
        <w:rPr>
          <w:rFonts w:hint="eastAsia" w:ascii="仿宋_GB2312" w:hAnsi="仿宋_GB2312" w:eastAsia="仿宋_GB2312" w:cs="仿宋_GB2312"/>
          <w:sz w:val="32"/>
          <w:szCs w:val="32"/>
        </w:rPr>
        <w:sectPr>
          <w:pgSz w:w="11906" w:h="16838"/>
          <w:pgMar w:top="2155" w:right="1531" w:bottom="1985" w:left="1531" w:header="851" w:footer="1587" w:gutter="0"/>
          <w:pgNumType w:fmt="numberInDash"/>
          <w:cols w:space="720" w:num="1"/>
          <w:docGrid w:type="lines" w:linePitch="312" w:charSpace="0"/>
        </w:sectPr>
      </w:pPr>
      <w:r>
        <w:rPr>
          <w:rFonts w:hint="eastAsia" w:ascii="仿宋_GB2312" w:hAnsi="仿宋_GB2312" w:eastAsia="仿宋_GB2312" w:cs="仿宋_GB2312"/>
          <w:sz w:val="32"/>
          <w:szCs w:val="32"/>
        </w:rPr>
        <w:t>将上述推算结果列于表9。如表9所示，到2025年，全市马产业纯收益达到613612.39万元，利润持续上升，马产业将成为增加我市马产业链各个市场主体收入的重要来源。</w:t>
      </w:r>
    </w:p>
    <w:p>
      <w:pPr>
        <w:spacing w:line="400" w:lineRule="exact"/>
        <w:jc w:val="center"/>
        <w:rPr>
          <w:rFonts w:eastAsia="楷体"/>
          <w:bCs/>
          <w:sz w:val="24"/>
        </w:rPr>
      </w:pPr>
      <w:r>
        <w:rPr>
          <w:rFonts w:eastAsia="楷体"/>
          <w:bCs/>
          <w:sz w:val="24"/>
        </w:rPr>
        <w:t>表9   呼伦贝尔市马产业预期效益</w:t>
      </w:r>
    </w:p>
    <w:p>
      <w:pPr>
        <w:jc w:val="left"/>
        <w:outlineLvl w:val="1"/>
        <w:rPr>
          <w:rFonts w:hint="eastAsia" w:ascii="楷体" w:hAnsi="楷体" w:eastAsia="楷体" w:cs="楷体"/>
          <w:bCs/>
          <w:sz w:val="24"/>
        </w:rPr>
      </w:pPr>
      <w:r>
        <w:rPr>
          <w:rFonts w:eastAsia="楷体"/>
          <w:bCs/>
          <w:sz w:val="24"/>
        </w:rPr>
        <w:t xml:space="preserve"> </w:t>
      </w:r>
      <w:r>
        <w:rPr>
          <w:rFonts w:hint="eastAsia" w:eastAsia="楷体"/>
          <w:bCs/>
          <w:sz w:val="24"/>
        </w:rPr>
        <w:t xml:space="preserve">                                                                                                  </w:t>
      </w:r>
      <w:r>
        <w:rPr>
          <w:rFonts w:hint="eastAsia" w:ascii="楷体" w:hAnsi="楷体" w:eastAsia="楷体" w:cs="楷体"/>
          <w:bCs/>
          <w:sz w:val="24"/>
        </w:rPr>
        <w:t xml:space="preserve">    </w:t>
      </w:r>
      <w:bookmarkStart w:id="606" w:name="_Toc21209"/>
      <w:bookmarkStart w:id="607" w:name="_Toc15769"/>
      <w:bookmarkStart w:id="608" w:name="_Toc15031_WPSOffice_Level2"/>
      <w:bookmarkStart w:id="609" w:name="_Toc28811"/>
      <w:bookmarkStart w:id="610" w:name="_Toc26521"/>
      <w:bookmarkStart w:id="611" w:name="_Toc22547_WPSOffice_Level2"/>
      <w:bookmarkStart w:id="612" w:name="_Toc10568_WPSOffice_Level2"/>
      <w:bookmarkStart w:id="613" w:name="_Toc28017_WPSOffice_Level2"/>
      <w:bookmarkStart w:id="614" w:name="_Toc1503_WPSOffice_Level2"/>
      <w:bookmarkStart w:id="615" w:name="_Toc18506"/>
      <w:bookmarkStart w:id="616" w:name="_Toc18041"/>
      <w:bookmarkStart w:id="617" w:name="_Toc28225_WPSOffice_Level2"/>
      <w:bookmarkStart w:id="618" w:name="_Toc30240_WPSOffice_Level2"/>
      <w:bookmarkStart w:id="619" w:name="_Toc10524"/>
      <w:r>
        <w:rPr>
          <w:rFonts w:hint="eastAsia" w:ascii="楷体" w:hAnsi="楷体" w:eastAsia="楷体" w:cs="楷体"/>
          <w:bCs/>
          <w:sz w:val="24"/>
        </w:rPr>
        <w:t>单位：万元</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tbl>
      <w:tblPr>
        <w:tblStyle w:val="15"/>
        <w:tblW w:w="0" w:type="auto"/>
        <w:tblInd w:w="0" w:type="dxa"/>
        <w:tblLayout w:type="fixed"/>
        <w:tblCellMar>
          <w:top w:w="0" w:type="dxa"/>
          <w:left w:w="0" w:type="dxa"/>
          <w:bottom w:w="0" w:type="dxa"/>
          <w:right w:w="0" w:type="dxa"/>
        </w:tblCellMar>
      </w:tblPr>
      <w:tblGrid>
        <w:gridCol w:w="2792"/>
        <w:gridCol w:w="2259"/>
        <w:gridCol w:w="1062"/>
        <w:gridCol w:w="1082"/>
        <w:gridCol w:w="1081"/>
        <w:gridCol w:w="1082"/>
        <w:gridCol w:w="1082"/>
        <w:gridCol w:w="1083"/>
        <w:gridCol w:w="1268"/>
        <w:gridCol w:w="1251"/>
      </w:tblGrid>
      <w:tr>
        <w:tblPrEx>
          <w:tblCellMar>
            <w:top w:w="0" w:type="dxa"/>
            <w:left w:w="0" w:type="dxa"/>
            <w:bottom w:w="0" w:type="dxa"/>
            <w:right w:w="0" w:type="dxa"/>
          </w:tblCellMar>
        </w:tblPrEx>
        <w:trPr>
          <w:trHeight w:val="90" w:hRule="atLeast"/>
        </w:trPr>
        <w:tc>
          <w:tcPr>
            <w:tcW w:w="2792" w:type="dxa"/>
            <w:vMerge w:val="restart"/>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项目</w:t>
            </w:r>
          </w:p>
        </w:tc>
        <w:tc>
          <w:tcPr>
            <w:tcW w:w="2259" w:type="dxa"/>
            <w:vMerge w:val="restart"/>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单价</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基期</w:t>
            </w:r>
          </w:p>
        </w:tc>
        <w:tc>
          <w:tcPr>
            <w:tcW w:w="7929" w:type="dxa"/>
            <w:gridSpan w:val="7"/>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规划期</w:t>
            </w:r>
          </w:p>
        </w:tc>
      </w:tr>
      <w:tr>
        <w:tblPrEx>
          <w:tblCellMar>
            <w:top w:w="0" w:type="dxa"/>
            <w:left w:w="0" w:type="dxa"/>
            <w:bottom w:w="0" w:type="dxa"/>
            <w:right w:w="0" w:type="dxa"/>
          </w:tblCellMar>
        </w:tblPrEx>
        <w:trPr>
          <w:trHeight w:val="90" w:hRule="atLeast"/>
        </w:trPr>
        <w:tc>
          <w:tcPr>
            <w:tcW w:w="2792" w:type="dxa"/>
            <w:vMerge w:val="continue"/>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2259" w:type="dxa"/>
            <w:vMerge w:val="continue"/>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2018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2019</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2020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2021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2022</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2023</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2024</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2025</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一、总收入</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327450.14</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403731.52</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451948.43</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498767.85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545576.76</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592389.68</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639202.6</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686015.52</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1、呼伦贝尔马专用饲料加工</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2000元/吨</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szCs w:val="21"/>
              </w:rPr>
              <w:t>2200</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2、马产品及深加工产品</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马肉</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15元/公斤</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18229.5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19270.5</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20311.5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21352.5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22393.5</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23434.5</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24475.5</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25516.5</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马奶、马奶酒</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15元/公斤</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13491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14367</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15243</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16119</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16995</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17871</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18747</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19623</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3、马匹销售收入</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6000元/匹</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24170.78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42248.41</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42528.26</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42808.71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43083.76</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43359.41</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43635.06</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43910.71</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4、体育休闲骑乘</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马术表演、比赛等门票</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每人500元/年</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25755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27120</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28485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29850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31215</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32580</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33945</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35310</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马术俱乐部</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每人1500元/年</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15453</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16272</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17091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17910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18729</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19548</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20367</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21186</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住宿</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每人200元/年</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24038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25312</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26586</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27860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29134</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30408</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31682</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32956</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餐饮</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每人300元/年</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56661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59664</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62667</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65670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68673</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71676</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74679</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77682</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其他消费（马纪念品）</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每人200元/年</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24038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25312</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26586</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27860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29134</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30408</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31682</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32956</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5、旅游（门票、项目收入）</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109500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146000</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182500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219000</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255500</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292000</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328500</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365000</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6、马文化</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jc w:val="center"/>
              <w:rPr>
                <w:rFonts w:hint="eastAsia" w:ascii="仿宋_GB2312" w:hAnsi="楷体" w:eastAsia="仿宋_GB2312" w:cs="楷体"/>
                <w:color w:val="000000"/>
                <w:szCs w:val="21"/>
              </w:rPr>
            </w:pP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主题公园</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知识竞赛</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博物馆</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二、税费及附加</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21712.21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24766.55</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26214.32</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26330.11</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28456.38</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29577.17</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30697.96</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31818.75</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三、总成本费用</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19543.55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27415.5</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30893.03</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32832.59</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34770.29</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36708.32</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38646.35</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40584.38</w:t>
            </w:r>
          </w:p>
        </w:tc>
      </w:tr>
      <w:tr>
        <w:tblPrEx>
          <w:tblCellMar>
            <w:top w:w="0" w:type="dxa"/>
            <w:left w:w="0" w:type="dxa"/>
            <w:bottom w:w="0" w:type="dxa"/>
            <w:right w:w="0" w:type="dxa"/>
          </w:tblCellMar>
        </w:tblPrEx>
        <w:trPr>
          <w:trHeight w:val="90" w:hRule="atLeast"/>
        </w:trPr>
        <w:tc>
          <w:tcPr>
            <w:tcW w:w="279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四、纯收益</w:t>
            </w:r>
          </w:p>
        </w:tc>
        <w:tc>
          <w:tcPr>
            <w:tcW w:w="2259"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w:t>
            </w:r>
          </w:p>
        </w:tc>
        <w:tc>
          <w:tcPr>
            <w:tcW w:w="106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286194.38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351549.47</w:t>
            </w:r>
          </w:p>
        </w:tc>
        <w:tc>
          <w:tcPr>
            <w:tcW w:w="108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394841.08</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439605.15</w:t>
            </w:r>
          </w:p>
        </w:tc>
        <w:tc>
          <w:tcPr>
            <w:tcW w:w="1082"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482350.09</w:t>
            </w:r>
          </w:p>
        </w:tc>
        <w:tc>
          <w:tcPr>
            <w:tcW w:w="1083"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526104.19</w:t>
            </w:r>
          </w:p>
        </w:tc>
        <w:tc>
          <w:tcPr>
            <w:tcW w:w="1268"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szCs w:val="21"/>
              </w:rPr>
            </w:pPr>
            <w:r>
              <w:rPr>
                <w:rFonts w:hint="eastAsia" w:ascii="仿宋_GB2312" w:hAnsi="楷体" w:eastAsia="仿宋_GB2312" w:cs="楷体"/>
                <w:color w:val="000000"/>
                <w:kern w:val="0"/>
                <w:szCs w:val="21"/>
              </w:rPr>
              <w:t>569858.29</w:t>
            </w:r>
          </w:p>
        </w:tc>
        <w:tc>
          <w:tcPr>
            <w:tcW w:w="1251" w:type="dxa"/>
            <w:tcBorders>
              <w:top w:val="single" w:color="000000" w:sz="8" w:space="0"/>
              <w:left w:val="single" w:color="000000" w:sz="8" w:space="0"/>
              <w:bottom w:val="single" w:color="000000" w:sz="8" w:space="0"/>
              <w:right w:val="single" w:color="000000" w:sz="8" w:space="0"/>
            </w:tcBorders>
            <w:tcMar>
              <w:top w:w="12" w:type="dxa"/>
              <w:left w:w="12" w:type="dxa"/>
              <w:right w:w="12" w:type="dxa"/>
            </w:tcMar>
            <w:vAlign w:val="center"/>
          </w:tcPr>
          <w:p>
            <w:pPr>
              <w:widowControl/>
              <w:jc w:val="center"/>
              <w:textAlignment w:val="center"/>
              <w:rPr>
                <w:rFonts w:hint="eastAsia" w:ascii="仿宋_GB2312" w:hAnsi="楷体" w:eastAsia="仿宋_GB2312" w:cs="楷体"/>
                <w:color w:val="000000"/>
                <w:kern w:val="0"/>
                <w:szCs w:val="21"/>
              </w:rPr>
            </w:pPr>
            <w:r>
              <w:rPr>
                <w:rFonts w:hint="eastAsia" w:ascii="仿宋_GB2312" w:hAnsi="楷体" w:eastAsia="仿宋_GB2312" w:cs="楷体"/>
                <w:color w:val="000000"/>
                <w:kern w:val="0"/>
                <w:szCs w:val="21"/>
              </w:rPr>
              <w:t>613612.39</w:t>
            </w:r>
          </w:p>
        </w:tc>
      </w:tr>
    </w:tbl>
    <w:p>
      <w:pPr>
        <w:rPr>
          <w:rFonts w:ascii="楷体" w:hAnsi="楷体" w:eastAsia="楷体" w:cs="楷体"/>
          <w:sz w:val="28"/>
          <w:szCs w:val="28"/>
        </w:rPr>
        <w:sectPr>
          <w:pgSz w:w="16838" w:h="11906" w:orient="landscape"/>
          <w:pgMar w:top="1800" w:right="1440" w:bottom="1800" w:left="1440" w:header="851" w:footer="992" w:gutter="0"/>
          <w:pgNumType w:fmt="numberInDash"/>
          <w:cols w:space="720" w:num="1"/>
          <w:docGrid w:type="lines" w:linePitch="312" w:charSpace="0"/>
        </w:sectPr>
      </w:pPr>
    </w:p>
    <w:p>
      <w:pPr>
        <w:pStyle w:val="2"/>
        <w:tabs>
          <w:tab w:val="left" w:pos="886"/>
        </w:tabs>
        <w:ind w:firstLine="640" w:firstLineChars="200"/>
        <w:jc w:val="both"/>
        <w:rPr>
          <w:rFonts w:hint="eastAsia" w:ascii="黑体" w:hAnsi="黑体" w:eastAsia="黑体" w:cs="黑体"/>
          <w:b w:val="0"/>
          <w:bCs/>
          <w:sz w:val="32"/>
          <w:szCs w:val="32"/>
        </w:rPr>
      </w:pPr>
      <w:bookmarkStart w:id="620" w:name="_Toc18963_WPSOffice_Level1"/>
      <w:bookmarkStart w:id="621" w:name="_Toc7144"/>
      <w:bookmarkStart w:id="622" w:name="_Toc4291"/>
      <w:bookmarkStart w:id="623" w:name="_Toc15521"/>
      <w:bookmarkStart w:id="624" w:name="_Toc17773"/>
      <w:bookmarkStart w:id="625" w:name="_Toc4123"/>
      <w:bookmarkStart w:id="626" w:name="_Toc27385"/>
      <w:bookmarkStart w:id="627" w:name="_Toc19380"/>
      <w:bookmarkStart w:id="628" w:name="_Toc9820"/>
      <w:r>
        <w:rPr>
          <w:rFonts w:hint="eastAsia" w:ascii="黑体" w:hAnsi="黑体" w:eastAsia="黑体" w:cs="黑体"/>
          <w:b w:val="0"/>
          <w:bCs/>
          <w:sz w:val="32"/>
          <w:szCs w:val="32"/>
        </w:rPr>
        <w:t>六、环境影响评价</w:t>
      </w:r>
      <w:bookmarkEnd w:id="620"/>
      <w:bookmarkEnd w:id="621"/>
      <w:bookmarkEnd w:id="622"/>
      <w:bookmarkEnd w:id="623"/>
      <w:bookmarkEnd w:id="624"/>
      <w:bookmarkEnd w:id="625"/>
      <w:bookmarkEnd w:id="626"/>
      <w:bookmarkEnd w:id="627"/>
      <w:bookmarkEnd w:id="628"/>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了马产业真正的可持续发展，避免重大决策失误，最大限度地减少对区域自然生态环境和资源的破坏。根据马产业发展的基本指导思想和产业布局中的规划目标，结合我市环境资源承载力的初步分析，通过环境影响评价，促进马产业开发活动的经济、社会和环境效益相协调统一。</w:t>
      </w:r>
    </w:p>
    <w:p>
      <w:pPr>
        <w:pStyle w:val="3"/>
        <w:ind w:firstLine="640" w:firstLineChars="200"/>
        <w:jc w:val="both"/>
        <w:rPr>
          <w:rFonts w:hint="eastAsia" w:ascii="楷体" w:hAnsi="楷体" w:cs="楷体"/>
          <w:b w:val="0"/>
          <w:bCs/>
          <w:sz w:val="32"/>
          <w:szCs w:val="32"/>
        </w:rPr>
      </w:pPr>
      <w:bookmarkStart w:id="629" w:name="_Toc7895"/>
      <w:bookmarkStart w:id="630" w:name="_Toc28525"/>
      <w:bookmarkStart w:id="631" w:name="_Toc5092_WPSOffice_Level2"/>
      <w:bookmarkStart w:id="632" w:name="_Toc19646"/>
      <w:bookmarkStart w:id="633" w:name="_Toc6216"/>
      <w:bookmarkStart w:id="634" w:name="_Toc16079"/>
      <w:bookmarkStart w:id="635" w:name="_Toc4776"/>
      <w:bookmarkStart w:id="636" w:name="_Toc11339"/>
      <w:bookmarkStart w:id="637" w:name="_Toc6339"/>
      <w:r>
        <w:rPr>
          <w:rFonts w:hint="eastAsia" w:ascii="楷体" w:hAnsi="楷体" w:cs="楷体"/>
          <w:b w:val="0"/>
          <w:bCs/>
          <w:sz w:val="32"/>
          <w:szCs w:val="32"/>
        </w:rPr>
        <w:t>（一）相关规划、法律法规符合性</w:t>
      </w:r>
      <w:bookmarkEnd w:id="629"/>
      <w:bookmarkEnd w:id="630"/>
      <w:bookmarkEnd w:id="631"/>
      <w:bookmarkEnd w:id="632"/>
      <w:bookmarkEnd w:id="633"/>
      <w:bookmarkEnd w:id="634"/>
      <w:bookmarkEnd w:id="635"/>
      <w:bookmarkEnd w:id="636"/>
      <w:bookmarkEnd w:id="637"/>
    </w:p>
    <w:p>
      <w:pPr>
        <w:ind w:firstLine="640" w:firstLineChars="200"/>
        <w:rPr>
          <w:rFonts w:hint="eastAsia" w:ascii="仿宋_GB2312" w:hAnsi="仿宋_GB2312" w:eastAsia="仿宋_GB2312" w:cs="仿宋_GB2312"/>
          <w:bCs/>
          <w:szCs w:val="32"/>
        </w:rPr>
      </w:pPr>
      <w:bookmarkStart w:id="638" w:name="_Toc9668"/>
      <w:bookmarkStart w:id="639" w:name="_Toc32467_WPSOffice_Level3"/>
      <w:bookmarkStart w:id="640" w:name="_Toc13869"/>
      <w:r>
        <w:rPr>
          <w:rFonts w:hint="eastAsia" w:ascii="仿宋_GB2312" w:hAnsi="仿宋_GB2312" w:eastAsia="仿宋_GB2312" w:cs="仿宋_GB2312"/>
          <w:sz w:val="32"/>
          <w:szCs w:val="32"/>
        </w:rPr>
        <w:t>1、与相关规划的协调性</w:t>
      </w:r>
      <w:bookmarkEnd w:id="638"/>
      <w:bookmarkEnd w:id="639"/>
      <w:bookmarkEnd w:id="640"/>
    </w:p>
    <w:p>
      <w:pPr>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（1）与《关于促进现代马产业发展的若干意见》的协调性分析</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对于《关于促进现代马产业发展的若干意见》中提到的加强马品种保护和改良繁育、促进现代马产业发展、建立完善相关</w:t>
      </w:r>
      <w:r>
        <w:rPr>
          <w:rFonts w:hint="eastAsia" w:ascii="仿宋_GB2312" w:hAnsi="仿宋_GB2312" w:eastAsia="仿宋_GB2312" w:cs="仿宋_GB2312"/>
          <w:spacing w:val="-11"/>
          <w:sz w:val="32"/>
          <w:szCs w:val="32"/>
        </w:rPr>
        <w:t>服务体系、提供政策支持等需由呼伦贝尔市完成的工作均予以落实。</w:t>
      </w:r>
    </w:p>
    <w:p>
      <w:pPr>
        <w:ind w:firstLine="616" w:firstLineChars="200"/>
        <w:rPr>
          <w:rFonts w:hint="eastAsia" w:ascii="仿宋_GB2312" w:hAnsi="仿宋_GB2312" w:eastAsia="仿宋_GB2312" w:cs="仿宋_GB2312"/>
          <w:sz w:val="32"/>
          <w:szCs w:val="32"/>
        </w:rPr>
      </w:pPr>
      <w:r>
        <w:rPr>
          <w:rFonts w:hint="eastAsia" w:ascii="仿宋_GB2312" w:hAnsi="仿宋_GB2312" w:eastAsia="仿宋_GB2312" w:cs="仿宋_GB2312"/>
          <w:bCs/>
          <w:spacing w:val="-6"/>
          <w:sz w:val="32"/>
          <w:szCs w:val="32"/>
        </w:rPr>
        <w:t>（2）与《现代马产业发展重点项目实施方案》的协调性分析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把马产业发展资金主要支持马良种提升工程、马主体旅游精品工程、蒙古马精神弘扬工程、马业人才培育工程等四大工程；马产品加工提升行动、马品牌赛事创建行动、马产业科技创新行动、马健康安全行动等四大行动方面工作。</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（3）与《内蒙古自治区主体功能区规划》的协调性分析</w:t>
      </w:r>
    </w:p>
    <w:p>
      <w:pPr>
        <w:topLinePun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内蒙古自治区主体功能区规划》战略任务中指出构建“两区两带”的农业战略格局，明确呼伦贝尔市为草原畜牧业产业带主体。构建“两屏三区”的生态战略格局中明确大兴安岭、呼伦贝尔沙地为禁止开发区域；在发展方向中指出要培育特色产业、提高发展质量、保护生态环境。规划中还指出我市应充分发挥呼伦贝尔大草原的品牌优势，建设草原明珠城市和精品旅游城市，高起点发展农畜产业。</w:t>
      </w:r>
    </w:p>
    <w:p>
      <w:pPr>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（4）与《呼伦贝尔市国民经济和社会发展第十三个五年规划纲要》的协调性分析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调结构、转方式为主基调，推进产业发展向中高端迈进。控制资源性产业单纯规模扩张，加快改造提升传统优势产业，加快培育战略性新兴产业，大力发展服务业，完善产业园区平台建设，推进企业兼并重组，加快形成传统产业新型化、新兴产业规模化、支柱产业多元化的现代产业体系。实施绿色、有机农畜产品发展战略。积极扶持呼伦贝尔地理标志、绿色品牌企业，培育壮大绿色、有机、无公害呼伦贝尔特色食品产业，做好“三品一标”农产品认证工作。加快推进畜牧业转型升级，加强特色农牧业基地建设，完善农牧业服务体系。</w:t>
      </w:r>
      <w:bookmarkStart w:id="641" w:name="_Toc27281"/>
    </w:p>
    <w:p>
      <w:pPr>
        <w:topLinePunct/>
        <w:ind w:firstLine="616" w:firstLineChars="200"/>
        <w:rPr>
          <w:rFonts w:hint="eastAsia" w:ascii="仿宋_GB2312" w:hAnsi="仿宋_GB2312" w:eastAsia="仿宋_GB2312" w:cs="仿宋_GB2312"/>
          <w:bCs/>
          <w:spacing w:val="-6"/>
          <w:sz w:val="32"/>
          <w:szCs w:val="32"/>
        </w:rPr>
      </w:pPr>
      <w:r>
        <w:rPr>
          <w:rFonts w:hint="eastAsia" w:ascii="仿宋_GB2312" w:hAnsi="仿宋_GB2312" w:eastAsia="仿宋_GB2312" w:cs="仿宋_GB2312"/>
          <w:bCs/>
          <w:spacing w:val="-6"/>
          <w:sz w:val="32"/>
          <w:szCs w:val="32"/>
        </w:rPr>
        <w:t>（5）与《呼伦贝尔市绿色农牧业重大项目规划》的协调性分析</w:t>
      </w:r>
      <w:bookmarkEnd w:id="641"/>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围绕农牧业供给侧结构性改革这条主线，以绿色、精品、高端、高效为方向，以实现农牧业增效、农牧民增收、农牧区增绿为目标，明确了强化产业链、创新链、价值链和强化三次产业融合、强化“互联网+”等任务，重点推进草业提升工程、乳业振兴工程、肉业提质增效工程、配套服务体系建设工程、产业融合发展工程、品牌创建工程等八大工程，并谋划了一批带动能力强、投资规模较大的项目。</w:t>
      </w:r>
    </w:p>
    <w:p>
      <w:pPr>
        <w:ind w:firstLine="640" w:firstLineChars="200"/>
        <w:rPr>
          <w:rFonts w:hint="eastAsia" w:ascii="仿宋_GB2312" w:hAnsi="仿宋_GB2312" w:eastAsia="仿宋_GB2312" w:cs="仿宋_GB2312"/>
          <w:bCs/>
          <w:szCs w:val="32"/>
        </w:rPr>
      </w:pPr>
      <w:bookmarkStart w:id="642" w:name="_Toc10769"/>
      <w:bookmarkStart w:id="643" w:name="_Toc24794"/>
      <w:r>
        <w:rPr>
          <w:rFonts w:hint="eastAsia" w:ascii="仿宋_GB2312" w:hAnsi="仿宋_GB2312" w:eastAsia="仿宋_GB2312" w:cs="仿宋_GB2312"/>
          <w:sz w:val="32"/>
          <w:szCs w:val="32"/>
        </w:rPr>
        <w:t>（6）与《呼伦贝尔市土地利用总体规划》的协调性分析</w:t>
      </w:r>
      <w:bookmarkEnd w:id="642"/>
      <w:bookmarkEnd w:id="643"/>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我市的实际用地情况，在保护草地资源和耕地红线的前提下，申请马产业发展中主体公园、赛马场、驿站、马道等基础设施所需建设用地。《呼伦贝尔市土地利用总体规划》中指出呼伦贝尔市农牧林区基础设施依然薄弱，产业化水平较低。规划期内要以促进农牧民增收为重点，加快推进农牧林区基础设施建设，大力提升农牧业产业化水平，积极扶持农畜林产品加工企业发展壮大，支持乳、肉加工龙头企业进行扩能改造，全面提高市场竞争力和辐射带动力。要加快原料基地建设，按照农牧业产业化生产要求，建设乳、肉特色养殖业产业基地，鼓励龙头企业建设稳固的原材料生产基地。</w:t>
      </w:r>
    </w:p>
    <w:p>
      <w:pPr>
        <w:ind w:firstLine="640" w:firstLineChars="200"/>
        <w:rPr>
          <w:rFonts w:hint="eastAsia" w:ascii="仿宋_GB2312" w:hAnsi="仿宋_GB2312" w:eastAsia="仿宋_GB2312" w:cs="仿宋_GB2312"/>
          <w:sz w:val="32"/>
          <w:szCs w:val="32"/>
        </w:rPr>
      </w:pPr>
      <w:bookmarkStart w:id="644" w:name="_Toc19755_WPSOffice_Level3"/>
      <w:bookmarkStart w:id="645" w:name="_Toc21354"/>
      <w:bookmarkStart w:id="646" w:name="_Toc19088"/>
      <w:r>
        <w:rPr>
          <w:rFonts w:hint="eastAsia" w:ascii="仿宋_GB2312" w:hAnsi="仿宋_GB2312" w:eastAsia="仿宋_GB2312" w:cs="仿宋_GB2312"/>
          <w:sz w:val="32"/>
          <w:szCs w:val="32"/>
        </w:rPr>
        <w:t>2、与相关法律法规的协调性</w:t>
      </w:r>
      <w:bookmarkEnd w:id="644"/>
      <w:bookmarkEnd w:id="645"/>
      <w:bookmarkEnd w:id="646"/>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展本次规划主体设计的同时考虑了规划的环境影响评价工作，是符合《中华人民共和国环境保护法》、《中华人民共和国环境影响评价法》、《规划环境影响评价条例》和相关规定和程序要求的。在规划环境影响评价工作过程中，以可持续发展和生态保护为评价原则，分别对水环境、环境空气、噪声环境、固体废弃物、生态环境、社会环境等方面进行预测分析评价，并拟定相关的资源和环境要素的保护措施和实施循环经济的建议，因此是符合相关环境要素和相关资源开发保护法律法规的。</w:t>
      </w:r>
    </w:p>
    <w:p>
      <w:pPr>
        <w:pStyle w:val="3"/>
        <w:ind w:firstLine="640" w:firstLineChars="200"/>
        <w:rPr>
          <w:rFonts w:hint="eastAsia" w:ascii="楷体" w:hAnsi="楷体" w:cs="楷体"/>
          <w:b w:val="0"/>
          <w:bCs/>
          <w:sz w:val="32"/>
          <w:szCs w:val="32"/>
        </w:rPr>
      </w:pPr>
      <w:bookmarkStart w:id="647" w:name="_Toc21227"/>
      <w:bookmarkStart w:id="648" w:name="_Toc14278"/>
      <w:bookmarkStart w:id="649" w:name="_Toc7486"/>
      <w:bookmarkStart w:id="650" w:name="_Toc11856"/>
      <w:bookmarkStart w:id="651" w:name="_Toc15035"/>
      <w:bookmarkStart w:id="652" w:name="_Toc21373"/>
      <w:bookmarkStart w:id="653" w:name="_Toc21877_WPSOffice_Level2"/>
      <w:bookmarkStart w:id="654" w:name="_Toc32535"/>
      <w:bookmarkStart w:id="655" w:name="_Toc19475"/>
      <w:r>
        <w:rPr>
          <w:rFonts w:hint="eastAsia" w:ascii="楷体" w:hAnsi="楷体" w:cs="楷体"/>
          <w:b w:val="0"/>
          <w:bCs/>
          <w:sz w:val="32"/>
          <w:szCs w:val="32"/>
        </w:rPr>
        <w:t>（二）环境影响综合</w:t>
      </w:r>
      <w:bookmarkEnd w:id="647"/>
      <w:r>
        <w:rPr>
          <w:rFonts w:hint="eastAsia" w:ascii="楷体" w:hAnsi="楷体" w:cs="楷体"/>
          <w:b w:val="0"/>
          <w:bCs/>
          <w:sz w:val="32"/>
          <w:szCs w:val="32"/>
        </w:rPr>
        <w:t>预测</w:t>
      </w:r>
      <w:bookmarkEnd w:id="648"/>
      <w:bookmarkEnd w:id="649"/>
      <w:bookmarkEnd w:id="650"/>
      <w:bookmarkEnd w:id="651"/>
      <w:bookmarkEnd w:id="652"/>
      <w:bookmarkEnd w:id="653"/>
      <w:bookmarkEnd w:id="654"/>
      <w:bookmarkEnd w:id="655"/>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划中涉及的马道、驿站和休闲骑乘用马匹交易市场等设施的建筑、安装和运营，马产品及其副产品精深加工企业、马专用饲料加工企业的建设、安装及生产，马文化博物馆、主题公园、赛马城（场）、马术俱乐部及其配套设施的建筑、安装和运行，均对环境产生不同程度的影响。</w:t>
      </w:r>
    </w:p>
    <w:p>
      <w:pPr>
        <w:ind w:firstLine="640" w:firstLineChars="200"/>
        <w:rPr>
          <w:rFonts w:hint="eastAsia" w:ascii="仿宋_GB2312" w:hAnsi="仿宋_GB2312" w:eastAsia="仿宋_GB2312" w:cs="仿宋_GB2312"/>
          <w:sz w:val="32"/>
          <w:szCs w:val="32"/>
        </w:rPr>
      </w:pPr>
      <w:bookmarkStart w:id="656" w:name="_Toc16504_WPSOffice_Level3"/>
      <w:bookmarkStart w:id="657" w:name="_Toc32174"/>
      <w:r>
        <w:rPr>
          <w:rFonts w:hint="eastAsia" w:ascii="仿宋_GB2312" w:hAnsi="仿宋_GB2312" w:eastAsia="仿宋_GB2312" w:cs="仿宋_GB2312"/>
          <w:sz w:val="32"/>
          <w:szCs w:val="32"/>
        </w:rPr>
        <w:t>1、施工期环境影响预测</w:t>
      </w:r>
      <w:bookmarkEnd w:id="656"/>
      <w:bookmarkEnd w:id="657"/>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（1）施工期环境噪声影响分析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划涉及到的马道、驿站、交易市场、加工企业、赛马城（场）及其配套设施等项目的建筑施工期（以下简称施工期），根据同类工程的环境噪声类比分析，施工机械昼间产生的噪声符合《建筑施工场界噪声标准》（GB12523-90）的各项限值；但是夜间施工噪声仍不能达到《建筑施工场界噪声标准》（GB12523-90）夜间的要求，影响较为严重，应尽可能避免夜间施工，并采取相应的声环境保护措施，减少噪声对周围居民造成的不利影响。相对于营运期来说，施工噪声具有间歇性和短暂性，随着施工活动的结束，施工噪声也就随之结束。因此，本工程施工噪声对周围环境影响不大。</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（2）施工期环境空气影响分析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期的主要污染物为施工扬尘、粉尘和施工机械尾气等，它们将对沿线或周边环境空气质量产生一定的不利影响，但经采取洒水、采用先进工艺、合理布局等措施后，可以将不利影响局限在较小的范围内，同时随着施工期的结束，此不利影响也将消失。同时，施工现场不设置沥青拌和站，工程所需沥青将全部从外地直接购买成品沥青，不存在沥青拌和站污染问题。因此，本工程施工期将会对周围环境空气造成一定程度的影响，但影响程度较小。</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（3）施工期水环境影响分析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期将产生的污水为施工人员的生活污水及施工过程中产生的施工废水。施工人员租用工地附近村庄的民房，其生活污水将和当地居民的生活污水一起处理排放；同时加强对施工机械和施工场地的管理，防止施工机械和施工材料被雨水冲刷而造成的水体污染。在采取合理有效的各项措施后，项目施工对地表水环境的影响将被降至最低程度，可以说是影响很小。</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（4）施工期生态环境影响分析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划涉及到的马道、驿站、交易市场、加工企业、赛马城（场）及其配套设施的建筑过程是主要水土流失源。根据同类工程水土流失量的类比分析，建设施工期间本规划涉及的工程施工造成的水土流失量很小。为尽可能地降低施工造成水土流失的影响，建设施工期间仍应采取必要的措施，防治水土流失，做好水土保持工作。</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设完毕，受破坏的临时占地进行地貌恢复，临时施工场地等采取相应的水土保持措施，如绿化复绿、建设排水沟等工程措施和生物措施，受影响区域的水土流失基本上得到控制，周边或沿线的生态环境可得到较好的恢复，所以对附近的草场、耕地、森林产生的影响甚微。随着施工期的结束，通过沿线或周边的绿化建设和植被的恢复，对陆生生物不会造成良影响。</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期由于机械的辗压及施工人员的践踏，在施工作业区周围的土壤将被严重压实，部分施工区域的表土将被铲去，另一些区域的表土将可能被填埋，从而使施工完成后的土壤表土层缺乏原有土壤的肥力，不利于植物的生长和植被恢复。施工期间由于植被的破坏，项目所在地受影响的区域将成为缺乏植被的裸地，从而对沿线的景观造成不利影响，但随着施工期的结束和植被的恢复，景观将会得到逐步的恢复和改善。</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（5）施工期固体废物影响分析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过程中产生的固体废物主要是开挖土石方和施工人员的生活垃圾，此外，施工期间建筑工地还会产生一定量的施工剩余废物料等建筑垃圾。加强管理施工现场，分生活垃圾和建筑垃圾分别收集，生活垃圾交由当地环卫部门处理，建筑垃圾执行我市有关建筑垃圾排放的管理规定，办理好建筑垃圾排放的手续，获得批准后在指定的受纳地点排放。只要加强管理，采取切实可</w:t>
      </w:r>
      <w:r>
        <w:rPr>
          <w:rFonts w:hint="eastAsia" w:ascii="仿宋_GB2312" w:hAnsi="仿宋_GB2312" w:eastAsia="仿宋_GB2312" w:cs="仿宋_GB2312"/>
          <w:spacing w:val="8"/>
          <w:sz w:val="32"/>
          <w:szCs w:val="32"/>
        </w:rPr>
        <w:t>行的措施，施工期间产生的固体废物不会对环境产生明显的影响</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bookmarkStart w:id="658" w:name="_Toc26885"/>
      <w:bookmarkStart w:id="659" w:name="_Toc7745_WPSOffice_Level3"/>
      <w:r>
        <w:rPr>
          <w:rFonts w:hint="eastAsia" w:ascii="仿宋_GB2312" w:hAnsi="仿宋_GB2312" w:eastAsia="仿宋_GB2312" w:cs="仿宋_GB2312"/>
          <w:sz w:val="32"/>
          <w:szCs w:val="32"/>
        </w:rPr>
        <w:t>2、营运期环境影响预测</w:t>
      </w:r>
      <w:bookmarkEnd w:id="658"/>
      <w:bookmarkEnd w:id="659"/>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（1）营运期环境噪声影响分析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马道、驿站、交易市场、加工企业、赛马城（场）等项目投入营运后将使沿线两侧的声环境质量有所下降，考虑背景噪声的情况下，在营运中期，距上述项目中心点一定范围内不能满足《声环境质量标准》（GB3096-2008）中的2类标准。因此，需采取降噪措施，减少对周围居民的影响。</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（2）营运期环境空气影响分析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敏感点受到NO</w:t>
      </w:r>
      <w:r>
        <w:rPr>
          <w:rFonts w:hint="eastAsia" w:ascii="仿宋_GB2312" w:hAnsi="仿宋_GB2312" w:eastAsia="仿宋_GB2312" w:cs="仿宋_GB2312"/>
          <w:sz w:val="32"/>
          <w:szCs w:val="32"/>
          <w:vertAlign w:val="subscript"/>
        </w:rPr>
        <w:t>2</w:t>
      </w:r>
      <w:r>
        <w:rPr>
          <w:rFonts w:hint="eastAsia" w:ascii="仿宋_GB2312" w:hAnsi="仿宋_GB2312" w:eastAsia="仿宋_GB2312" w:cs="仿宋_GB2312"/>
          <w:sz w:val="32"/>
          <w:szCs w:val="32"/>
        </w:rPr>
        <w:t>污染的程度与汽车尾气排放量、气象条件有关，同时还与敏感点距路之间水平距离和路基高度有较大关系，即交通量越大，污染物排放量越大；路基越高，有利于污染物的扩散；风速越小，越不利于扩散，污染物浓度越高；敏感建筑物处在道路下风向时，其影响程度较大。本规划进行大气影响预测评价的敏感点有马道、加工企业、赛马城（场）等。根据预测结果，本路段工程完成后，在年平均风速2.0m/s、D 稳定度气象条件下，本项目所有敏感点NO</w:t>
      </w:r>
      <w:r>
        <w:rPr>
          <w:rFonts w:hint="eastAsia" w:ascii="仿宋_GB2312" w:hAnsi="仿宋_GB2312" w:eastAsia="仿宋_GB2312" w:cs="仿宋_GB2312"/>
          <w:sz w:val="32"/>
          <w:szCs w:val="32"/>
          <w:vertAlign w:val="subscript"/>
        </w:rPr>
        <w:t>2</w:t>
      </w:r>
      <w:r>
        <w:rPr>
          <w:rFonts w:hint="eastAsia" w:ascii="仿宋_GB2312" w:hAnsi="仿宋_GB2312" w:eastAsia="仿宋_GB2312" w:cs="仿宋_GB2312"/>
          <w:sz w:val="32"/>
          <w:szCs w:val="32"/>
        </w:rPr>
        <w:t>的日均浓度和高峰小时浓度均可达到《环境空气质量标准》（GB3095-1996）及2000年修改单中二级标准0.12mg/m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和0.24mg/m</w:t>
      </w:r>
      <w:r>
        <w:rPr>
          <w:rFonts w:hint="eastAsia" w:ascii="仿宋_GB2312" w:hAnsi="仿宋_GB2312" w:eastAsia="仿宋_GB2312" w:cs="仿宋_GB2312"/>
          <w:sz w:val="32"/>
          <w:szCs w:val="32"/>
          <w:vertAlign w:val="superscript"/>
        </w:rPr>
        <w:t>3</w:t>
      </w:r>
      <w:r>
        <w:rPr>
          <w:rFonts w:hint="eastAsia" w:ascii="仿宋_GB2312" w:hAnsi="仿宋_GB2312" w:eastAsia="仿宋_GB2312" w:cs="仿宋_GB2312"/>
          <w:sz w:val="32"/>
          <w:szCs w:val="32"/>
        </w:rPr>
        <w:t>的要求。此外，汽车运行导致PM10增加的问题已经引起越来越多的关注，在运营期间，应注意公路洒水，最大适度地减少扬尘对居民生活质量的影响。</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（3）营运期水环境影响分析</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对于本规划所涉及项目来说，径流污染物总量较小。初期雨水的化学成分简单，污染物浓度较小，排放量较小，总的来说对污染贡献较小。因此，对沿线和当地村镇居民的生活不会产生明显影响。</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（4）营运期生态环境影响分析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对植被的影响。马道、驿站建成投入运营以后，两侧边坡得到防护，新的草皮在边坡面上覆盖生长，这对所在区域的植物生态系统来说，是一个建设性的过程，属于正面影响。</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动物的影响。马道、驿站工程的建设可能会令少部分动物的活动范围受到限制。但随着投入运营时间的延续，沿线及周边动物将逐步适应这种改变，道路两侧区域内新的食物链将重新形成，生态系统在一个新的基础上重新达到动态平衡。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对沿线景观的影响。项目运行期，马道、驿站与周边乔木、灌木和草交相辉映，可大大改善生态景观环境，提升当地的整体形象。</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（5）营运期固体废物影响分析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营运期产生的固体废物主要来自游客丢弃的玻璃、塑料等生活垃圾，这些固体废弃物通过设置垃圾箱（桶）等分类收集后，可交由当地环卫部门进行处置，经妥善处置后将不会对周边环境产生污染影响。</w:t>
      </w:r>
    </w:p>
    <w:p>
      <w:pPr>
        <w:pStyle w:val="3"/>
        <w:ind w:firstLine="640" w:firstLineChars="200"/>
        <w:jc w:val="both"/>
        <w:rPr>
          <w:rFonts w:hint="eastAsia" w:ascii="仿宋_GB2312" w:hAnsi="仿宋_GB2312" w:eastAsia="仿宋_GB2312" w:cs="仿宋_GB2312"/>
          <w:b w:val="0"/>
          <w:sz w:val="32"/>
          <w:szCs w:val="32"/>
        </w:rPr>
      </w:pPr>
      <w:bookmarkStart w:id="660" w:name="_Toc10197"/>
      <w:bookmarkStart w:id="661" w:name="_Toc28215"/>
      <w:bookmarkStart w:id="662" w:name="_Toc16802"/>
      <w:bookmarkStart w:id="663" w:name="_Toc23099"/>
      <w:bookmarkStart w:id="664" w:name="_Toc23631"/>
      <w:bookmarkStart w:id="665" w:name="_Toc28088"/>
      <w:bookmarkStart w:id="666" w:name="_Toc6989"/>
      <w:bookmarkStart w:id="667" w:name="_Toc20896"/>
      <w:bookmarkStart w:id="668" w:name="_Toc12676_WPSOffice_Level2"/>
      <w:r>
        <w:rPr>
          <w:rFonts w:hint="eastAsia" w:ascii="楷体" w:hAnsi="楷体" w:cs="楷体"/>
          <w:b w:val="0"/>
          <w:bCs/>
          <w:sz w:val="32"/>
          <w:szCs w:val="32"/>
        </w:rPr>
        <w:t>（三）污染防治措施</w:t>
      </w:r>
      <w:bookmarkEnd w:id="660"/>
      <w:bookmarkEnd w:id="661"/>
      <w:bookmarkEnd w:id="662"/>
      <w:bookmarkEnd w:id="663"/>
      <w:bookmarkEnd w:id="664"/>
      <w:bookmarkEnd w:id="665"/>
      <w:bookmarkEnd w:id="666"/>
      <w:bookmarkEnd w:id="667"/>
      <w:bookmarkEnd w:id="668"/>
    </w:p>
    <w:p>
      <w:pPr>
        <w:ind w:firstLine="640" w:firstLineChars="200"/>
        <w:rPr>
          <w:rFonts w:hint="eastAsia" w:ascii="仿宋_GB2312" w:hAnsi="仿宋_GB2312" w:eastAsia="仿宋_GB2312" w:cs="仿宋_GB2312"/>
          <w:sz w:val="32"/>
          <w:szCs w:val="32"/>
        </w:rPr>
      </w:pPr>
      <w:bookmarkStart w:id="669" w:name="_Toc6955"/>
      <w:bookmarkStart w:id="670" w:name="_Toc25562"/>
      <w:bookmarkStart w:id="671" w:name="_Toc9667_WPSOffice_Level3"/>
      <w:r>
        <w:rPr>
          <w:rFonts w:hint="eastAsia" w:ascii="仿宋_GB2312" w:hAnsi="仿宋_GB2312" w:eastAsia="仿宋_GB2312" w:cs="仿宋_GB2312"/>
          <w:sz w:val="32"/>
          <w:szCs w:val="32"/>
        </w:rPr>
        <w:t>1、噪声污染防治措施</w:t>
      </w:r>
      <w:bookmarkEnd w:id="669"/>
      <w:bookmarkEnd w:id="670"/>
      <w:bookmarkEnd w:id="671"/>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（1）施工期噪声污染防治措施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过程中，必须严格执行《中华人民共和国环境噪声污染防治法》等法规，减小其噪声对周围环境的影响，特别是减轻对声环境敏感点的影响；要注意对设备的养护和正确操作，尽量使筑路机械的噪声维持在最低声级水平。对于距辐射高强噪声源较近的施工人员，除采取戴保护耳塞或头盔等劳保措施外，还应适当缩短其劳动时间；在敏感点附近施工时应安排好施工时间，严格控制作业时间，作息时间（中午午休12：00～14：00与夜间休息22：00～次日06：00）严禁作业。</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（2）营运期噪声防治措施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根据前面噪声影响分析，各敏感点超标情况不算严重。噪声的几何扩散外，实际上敏感点经过建筑物、植物等障碍物衰减后，噪声值可降低 3～5dB(A)。本规划对各敏感点拟采用的降噪工程措施为安装机械通风隔声窗，其降噪在25dB（A）以上，基本可满足室内声环境  功能的要求。由于噪声分析存在的一定的误差，营运期的声环境状况会和预测的有所出入，因此，营运期还应加强对沿线敏感点的噪声监测，根据监测结果对噪声降噪措施进行完善和调整。</w:t>
      </w:r>
    </w:p>
    <w:p>
      <w:pPr>
        <w:ind w:firstLine="640" w:firstLineChars="200"/>
        <w:rPr>
          <w:rFonts w:hint="eastAsia" w:ascii="仿宋_GB2312" w:hAnsi="仿宋_GB2312" w:eastAsia="仿宋_GB2312" w:cs="仿宋_GB2312"/>
          <w:sz w:val="32"/>
          <w:szCs w:val="32"/>
        </w:rPr>
      </w:pPr>
      <w:bookmarkStart w:id="672" w:name="_Toc12242"/>
      <w:bookmarkStart w:id="673" w:name="_Toc12654"/>
      <w:bookmarkStart w:id="674" w:name="_Toc5338_WPSOffice_Level3"/>
      <w:r>
        <w:rPr>
          <w:rFonts w:hint="eastAsia" w:ascii="仿宋_GB2312" w:hAnsi="仿宋_GB2312" w:eastAsia="仿宋_GB2312" w:cs="仿宋_GB2312"/>
          <w:sz w:val="32"/>
          <w:szCs w:val="32"/>
        </w:rPr>
        <w:t>2、空气污染防治措施</w:t>
      </w:r>
      <w:bookmarkEnd w:id="672"/>
      <w:bookmarkEnd w:id="673"/>
      <w:bookmarkEnd w:id="674"/>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本规划空气污染主要产生于加工企业、赛马城（场）等项目的施工期。可采取如下空气污染防治措施。</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挖、钻孔和拆迁过程中，经常洒水使施工作业区保持一定的湿度，防治灰尘飞扬；施工场地内松散、干涸的表土，经常洒水并用遮盖物覆盖；在填筑土方时，表层土质干燥需经常洒水，防治粉尘飘散；运土车辆及运输散装材料的车辆按规定配置防洒、防漏、防扬的封闭装备，装载量不宜过满，保证运输过程不散落，规划好运输车辆运输线路与时间，在施工临时公路行驶应减速慢行，减少扬尘，及时清扫洒落在路面的泥土；混凝土搅拌站、砂石料搅拌等设施，应设置与敏感点下风向至少200m以外的地方，拌和系统的密闭性要好，同时配备减震、除尘装置，散装物料装卸或运移场地，应采用封闭的方式作业；施工机械与运输车辆应采用新的、尾气量较少的设施，减少机械尾气排放；施工过程中严禁废弃建筑材料作为燃料燃烧，工地食堂应液化石油气或电炊具，不能使用重污染的燃油以及其它燃料的器具；施工人员应配备安全防护劳动工具，避免扬尘吸入产生各种慢性疾病；施工结束后应及时对施工占用场地恢复植被，减少表土裸露时间。</w:t>
      </w:r>
    </w:p>
    <w:p>
      <w:pPr>
        <w:ind w:firstLine="640" w:firstLineChars="200"/>
        <w:rPr>
          <w:rFonts w:hint="eastAsia" w:ascii="仿宋_GB2312" w:hAnsi="仿宋_GB2312" w:eastAsia="仿宋_GB2312" w:cs="仿宋_GB2312"/>
          <w:sz w:val="32"/>
          <w:szCs w:val="32"/>
        </w:rPr>
      </w:pPr>
      <w:bookmarkStart w:id="675" w:name="_Toc15921_WPSOffice_Level3"/>
      <w:bookmarkStart w:id="676" w:name="_Toc28148"/>
      <w:bookmarkStart w:id="677" w:name="_Toc3523"/>
      <w:bookmarkStart w:id="678" w:name="_Toc17628"/>
      <w:bookmarkStart w:id="679" w:name="_Toc31201"/>
      <w:bookmarkStart w:id="680" w:name="_Toc27338"/>
      <w:r>
        <w:rPr>
          <w:rFonts w:hint="eastAsia" w:ascii="仿宋_GB2312" w:hAnsi="仿宋_GB2312" w:eastAsia="仿宋_GB2312" w:cs="仿宋_GB2312"/>
          <w:sz w:val="32"/>
          <w:szCs w:val="32"/>
        </w:rPr>
        <w:t>3、水环境污染防治措施</w:t>
      </w:r>
      <w:bookmarkEnd w:id="675"/>
      <w:bookmarkEnd w:id="676"/>
      <w:bookmarkEnd w:id="677"/>
      <w:bookmarkEnd w:id="678"/>
      <w:bookmarkEnd w:id="679"/>
      <w:bookmarkEnd w:id="680"/>
      <w:r>
        <w:rPr>
          <w:rFonts w:hint="eastAsia" w:ascii="仿宋_GB2312" w:hAnsi="仿宋_GB2312" w:eastAsia="仿宋_GB2312" w:cs="仿宋_GB2312"/>
          <w:sz w:val="32"/>
          <w:szCs w:val="32"/>
        </w:rPr>
        <w:t xml:space="preserve">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人员所产生生活污水与当地居民的生活污水一同处理、排放。机械和车辆的冲洗，可利用在施工场内的空旷地地设临时蒸发池（可就近利用废弃的沟、坑），施工结束覆土掩埋。施工中的废油及其它固体废物不得随意倾倒或排入水体，也不得堆放在水体旁，应及时清运至当地允许放置的地点。施工物料堆场应远离地表水体，并设置在径流不易冲刷处，粉状物料堆场应配有草包篷布等遮盖物并在周围挖设明沟防止径流冲刷。加强对施工机械的管理。防止机械跑、冒、滴、漏引起水污染。含有害物质的建材如沥青、水泥等不准堆放在水体附近，并应设篷盖，必要时设围栏，防止水体污染。施工期合理安排，尽可能选在旱季进行施工。采用钻孔灌注桩基础，钻孔施工时将需要少量泥浆，除部分用于巩固孔壁之外，其余将从孔口外溢，在钻孔灌注桩施工过程中，也会产生污水、淤泥。根据以往施工经验，泥浆水虽然产生量不大，但影响危害较大，在施工过程中，应该严格按照施工规范，根据地形对污水加以引导，引入坑池进行沉淀。施工单位在进行基础施工时要使用防渗防漏能力强的围堰。</w:t>
      </w:r>
    </w:p>
    <w:p>
      <w:pPr>
        <w:ind w:firstLine="640" w:firstLineChars="200"/>
        <w:rPr>
          <w:rFonts w:hint="eastAsia" w:ascii="仿宋_GB2312" w:hAnsi="仿宋_GB2312" w:eastAsia="仿宋_GB2312" w:cs="仿宋_GB2312"/>
          <w:sz w:val="32"/>
          <w:szCs w:val="32"/>
        </w:rPr>
      </w:pPr>
      <w:bookmarkStart w:id="681" w:name="_Toc19600"/>
      <w:bookmarkStart w:id="682" w:name="_Toc2573"/>
      <w:bookmarkStart w:id="683" w:name="_Toc24797"/>
      <w:bookmarkStart w:id="684" w:name="_Toc2048_WPSOffice_Level3"/>
      <w:bookmarkStart w:id="685" w:name="_Toc14270"/>
      <w:bookmarkStart w:id="686" w:name="_Toc31883"/>
      <w:bookmarkStart w:id="687" w:name="_Toc24482"/>
      <w:r>
        <w:rPr>
          <w:rFonts w:hint="eastAsia" w:ascii="仿宋_GB2312" w:hAnsi="仿宋_GB2312" w:eastAsia="仿宋_GB2312" w:cs="仿宋_GB2312"/>
          <w:sz w:val="32"/>
          <w:szCs w:val="32"/>
        </w:rPr>
        <w:t>4、生态环境保护措施</w:t>
      </w:r>
      <w:bookmarkEnd w:id="681"/>
      <w:bookmarkEnd w:id="682"/>
      <w:bookmarkEnd w:id="683"/>
      <w:bookmarkEnd w:id="684"/>
      <w:bookmarkEnd w:id="685"/>
      <w:bookmarkEnd w:id="686"/>
      <w:bookmarkEnd w:id="687"/>
      <w:r>
        <w:rPr>
          <w:rFonts w:hint="eastAsia" w:ascii="仿宋_GB2312" w:hAnsi="仿宋_GB2312" w:eastAsia="仿宋_GB2312" w:cs="仿宋_GB2312"/>
          <w:sz w:val="32"/>
          <w:szCs w:val="32"/>
        </w:rPr>
        <w:t xml:space="preserve">  </w:t>
      </w:r>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工企业、赛马城（场）等工程完工后应加强周边区域绿化工作。绿化形式以稀树草被绿化为主，可选用生长快、遮荫性强、抗风、抗污染的树种，灌木用粗生粗养的种类，并具各色鲜花的种类。草被尽量用本地种和归化种。</w:t>
      </w:r>
    </w:p>
    <w:p>
      <w:pPr>
        <w:topLinePunct/>
        <w:ind w:firstLine="642" w:firstLineChars="200"/>
        <w:outlineLvl w:val="1"/>
        <w:rPr>
          <w:rFonts w:hint="eastAsia" w:ascii="楷体" w:hAnsi="楷体" w:eastAsia="楷体" w:cs="楷体"/>
          <w:sz w:val="32"/>
          <w:szCs w:val="32"/>
        </w:rPr>
      </w:pPr>
      <w:bookmarkStart w:id="688" w:name="_Toc30487"/>
      <w:bookmarkStart w:id="689" w:name="_Toc4871"/>
      <w:bookmarkStart w:id="690" w:name="_Toc3137_WPSOffice_Level2"/>
      <w:bookmarkStart w:id="691" w:name="_Toc5516"/>
      <w:bookmarkStart w:id="692" w:name="_Toc697"/>
      <w:bookmarkStart w:id="693" w:name="_Toc15474"/>
      <w:bookmarkStart w:id="694" w:name="_Toc18551"/>
      <w:bookmarkStart w:id="695" w:name="_Toc14074"/>
      <w:bookmarkStart w:id="696" w:name="_Toc3422"/>
      <w:r>
        <w:rPr>
          <w:rStyle w:val="21"/>
          <w:rFonts w:hint="eastAsia"/>
          <w:bCs/>
          <w:sz w:val="32"/>
          <w:szCs w:val="32"/>
        </w:rPr>
        <w:t>（四）环境影响评价的结论</w:t>
      </w:r>
      <w:r>
        <w:rPr>
          <w:rFonts w:hint="eastAsia" w:ascii="楷体" w:hAnsi="楷体" w:eastAsia="楷体" w:cs="楷体"/>
          <w:sz w:val="32"/>
          <w:szCs w:val="32"/>
        </w:rPr>
        <w:t> </w:t>
      </w:r>
      <w:bookmarkEnd w:id="688"/>
      <w:bookmarkEnd w:id="689"/>
      <w:bookmarkEnd w:id="690"/>
      <w:bookmarkEnd w:id="691"/>
      <w:bookmarkEnd w:id="692"/>
      <w:bookmarkEnd w:id="693"/>
      <w:bookmarkEnd w:id="694"/>
      <w:bookmarkEnd w:id="695"/>
      <w:bookmarkEnd w:id="696"/>
    </w:p>
    <w:p>
      <w:pPr>
        <w:topLinePun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综合上述，本规划顺应了呼伦贝尔市乃至全国现代马产业发展总趋势，本规划所涉及的建设项目符合《呼伦贝尔市国民经济和社会发展第十三个五年（2016～2020年）规划纲要》的要求，深入贯彻生态优先、绿色发展的理念，促进呼伦贝尔市传统马产业转向现代马产业。环境评价确定的环境保护措施合理、可行，</w:t>
      </w:r>
      <w:r>
        <w:rPr>
          <w:rFonts w:hint="eastAsia" w:ascii="仿宋_GB2312" w:hAnsi="仿宋_GB2312" w:eastAsia="仿宋_GB2312" w:cs="仿宋_GB2312"/>
          <w:spacing w:val="-6"/>
          <w:sz w:val="32"/>
          <w:szCs w:val="32"/>
        </w:rPr>
        <w:t>对环境的影响是可以接受的。从环境保护角度，在本规划是可行的。</w:t>
      </w:r>
      <w:r>
        <w:rPr>
          <w:rFonts w:hint="eastAsia" w:ascii="仿宋_GB2312" w:hAnsi="仿宋_GB2312" w:eastAsia="仿宋_GB2312" w:cs="仿宋_GB2312"/>
          <w:sz w:val="32"/>
          <w:szCs w:val="32"/>
        </w:rPr>
        <w:t xml:space="preserve">           </w:t>
      </w:r>
      <w:bookmarkStart w:id="697" w:name="_Toc15967_WPSOffice_Level1"/>
      <w:bookmarkStart w:id="698" w:name="_Toc24104"/>
      <w:r>
        <w:rPr>
          <w:rFonts w:hint="eastAsia" w:ascii="仿宋_GB2312" w:hAnsi="仿宋_GB2312" w:eastAsia="仿宋_GB2312" w:cs="仿宋_GB2312"/>
          <w:sz w:val="32"/>
          <w:szCs w:val="32"/>
        </w:rPr>
        <w:t xml:space="preserve">    </w:t>
      </w:r>
    </w:p>
    <w:p>
      <w:pPr>
        <w:pStyle w:val="2"/>
        <w:ind w:firstLine="640" w:firstLineChars="200"/>
        <w:rPr>
          <w:rFonts w:hint="eastAsia" w:ascii="黑体" w:hAnsi="黑体" w:eastAsia="黑体" w:cs="黑体"/>
          <w:b w:val="0"/>
          <w:bCs/>
          <w:sz w:val="32"/>
          <w:szCs w:val="32"/>
        </w:rPr>
      </w:pPr>
      <w:bookmarkStart w:id="699" w:name="_Toc20867"/>
      <w:bookmarkStart w:id="700" w:name="_Toc20873"/>
      <w:bookmarkStart w:id="701" w:name="_Toc20285"/>
      <w:bookmarkStart w:id="702" w:name="_Toc15336"/>
      <w:bookmarkStart w:id="703" w:name="_Toc2637"/>
      <w:bookmarkStart w:id="704" w:name="_Toc3336"/>
      <w:bookmarkStart w:id="705" w:name="_Toc7583"/>
      <w:r>
        <w:rPr>
          <w:rFonts w:hint="eastAsia" w:ascii="黑体" w:hAnsi="黑体" w:eastAsia="黑体" w:cs="黑体"/>
          <w:b w:val="0"/>
          <w:bCs/>
          <w:sz w:val="32"/>
          <w:szCs w:val="32"/>
        </w:rPr>
        <w:t>七、保障措施</w:t>
      </w:r>
      <w:bookmarkEnd w:id="697"/>
      <w:bookmarkEnd w:id="698"/>
      <w:bookmarkEnd w:id="699"/>
      <w:bookmarkEnd w:id="700"/>
      <w:bookmarkEnd w:id="701"/>
      <w:bookmarkEnd w:id="702"/>
      <w:bookmarkEnd w:id="703"/>
      <w:bookmarkEnd w:id="704"/>
      <w:bookmarkEnd w:id="705"/>
      <w:bookmarkStart w:id="706" w:name="_Toc32133"/>
      <w:bookmarkStart w:id="707" w:name="_Toc13809"/>
      <w:bookmarkStart w:id="708" w:name="_Toc10121"/>
      <w:bookmarkStart w:id="709" w:name="_Toc13312"/>
      <w:bookmarkStart w:id="710" w:name="_Toc13876_WPSOffice_Level2"/>
      <w:bookmarkStart w:id="711" w:name="_Toc395275256"/>
      <w:bookmarkStart w:id="712" w:name="_Toc14809_WPSOffice_Level2"/>
      <w:bookmarkStart w:id="713" w:name="_Toc32160_WPSOffice_Level2"/>
      <w:bookmarkStart w:id="714" w:name="_Toc31681_WPSOffice_Level2"/>
    </w:p>
    <w:p>
      <w:pPr>
        <w:pStyle w:val="3"/>
        <w:ind w:firstLine="640" w:firstLineChars="200"/>
        <w:rPr>
          <w:rFonts w:hint="eastAsia" w:ascii="楷体" w:hAnsi="楷体" w:cs="楷体"/>
          <w:b w:val="0"/>
          <w:szCs w:val="32"/>
        </w:rPr>
      </w:pPr>
      <w:bookmarkStart w:id="715" w:name="_Toc17518"/>
      <w:bookmarkStart w:id="716" w:name="_Toc29131"/>
      <w:bookmarkStart w:id="717" w:name="_Toc6521"/>
      <w:bookmarkStart w:id="718" w:name="_Toc18057"/>
      <w:bookmarkStart w:id="719" w:name="_Toc755"/>
      <w:bookmarkStart w:id="720" w:name="_Toc17090"/>
      <w:bookmarkStart w:id="721" w:name="_Toc14315"/>
      <w:r>
        <w:rPr>
          <w:rFonts w:hint="eastAsia"/>
          <w:b w:val="0"/>
          <w:bCs/>
          <w:sz w:val="32"/>
          <w:szCs w:val="32"/>
        </w:rPr>
        <w:t>（一）组织保障</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pPr>
        <w:ind w:firstLine="640" w:firstLineChars="200"/>
        <w:rPr>
          <w:rFonts w:hint="eastAsia" w:ascii="仿宋_GB2312" w:hAnsi="仿宋_GB2312" w:eastAsia="仿宋_GB2312" w:cs="仿宋_GB2312"/>
          <w:sz w:val="32"/>
          <w:szCs w:val="32"/>
        </w:rPr>
      </w:pPr>
      <w:bookmarkStart w:id="722" w:name="_Toc16158526"/>
      <w:bookmarkStart w:id="723" w:name="_Toc16082314"/>
      <w:bookmarkStart w:id="724" w:name="_Toc29774"/>
      <w:bookmarkStart w:id="725" w:name="_Toc23361"/>
      <w:bookmarkStart w:id="726" w:name="_Toc11466"/>
      <w:bookmarkStart w:id="727" w:name="_Toc3587_WPSOffice_Level2"/>
      <w:bookmarkStart w:id="728" w:name="_Toc25764"/>
      <w:bookmarkStart w:id="729" w:name="_Toc3711_WPSOffice_Level2"/>
      <w:bookmarkStart w:id="730" w:name="_Toc16968_WPSOffice_Level2"/>
      <w:bookmarkStart w:id="731" w:name="_Toc395275258"/>
      <w:bookmarkStart w:id="732" w:name="_Toc14237"/>
      <w:bookmarkStart w:id="733" w:name="_Toc25829"/>
      <w:r>
        <w:rPr>
          <w:rFonts w:hint="eastAsia" w:ascii="仿宋_GB2312" w:hAnsi="仿宋_GB2312" w:eastAsia="仿宋_GB2312" w:cs="仿宋_GB2312"/>
          <w:sz w:val="32"/>
          <w:szCs w:val="32"/>
        </w:rPr>
        <w:t>实施现代马产业发展规划，成立呼伦贝尔市促进现代马产业发展领导小组，集中协调和解决现代马产业发展建设中的重大事项、重大问题、重要工作。重点马产业发展旗市区要把现代马产业发展摆在重要位置，制定和落实现代马产业发展的配套政策和措施，通过招商引资、资金扶持，最大程度激发各类主体的活力和创造力。加强地区间交流合作，共同推进我市现代马产业发展。</w:t>
      </w:r>
    </w:p>
    <w:bookmarkEnd w:id="722"/>
    <w:bookmarkEnd w:id="723"/>
    <w:bookmarkEnd w:id="724"/>
    <w:bookmarkEnd w:id="725"/>
    <w:bookmarkEnd w:id="726"/>
    <w:p>
      <w:pPr>
        <w:pStyle w:val="3"/>
        <w:ind w:firstLine="640" w:firstLineChars="200"/>
        <w:jc w:val="both"/>
        <w:rPr>
          <w:rFonts w:hint="eastAsia" w:ascii="楷体" w:hAnsi="楷体" w:cs="楷体"/>
          <w:b w:val="0"/>
          <w:bCs/>
          <w:sz w:val="32"/>
          <w:szCs w:val="32"/>
        </w:rPr>
      </w:pPr>
      <w:bookmarkStart w:id="734" w:name="_Toc3661"/>
      <w:bookmarkStart w:id="735" w:name="_Toc26576"/>
      <w:bookmarkStart w:id="736" w:name="_Toc10231"/>
      <w:bookmarkStart w:id="737" w:name="_Toc7580"/>
      <w:bookmarkStart w:id="738" w:name="_Toc13813"/>
      <w:bookmarkStart w:id="739" w:name="_Toc10931"/>
      <w:bookmarkStart w:id="740" w:name="_Toc555"/>
      <w:bookmarkStart w:id="741" w:name="_Toc2251_WPSOffice_Level2"/>
      <w:bookmarkStart w:id="742" w:name="_Toc20058"/>
      <w:r>
        <w:rPr>
          <w:rFonts w:hint="eastAsia" w:ascii="楷体" w:hAnsi="楷体" w:cs="楷体"/>
          <w:b w:val="0"/>
          <w:bCs/>
          <w:sz w:val="32"/>
          <w:szCs w:val="32"/>
        </w:rPr>
        <w:t>（二）资金保障</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强化马产业稳定发展的财政扶持政策。积极向上争取政策资金支持马产业稳定发展，并及时将上级安排的马产业发展专项资金拨付下达。重点扶持蒙古马、三河马和大兴安岭马的马专用饲料加工、人工饲草地建设、马品种资源保护、马品种培育和良种繁育、疫病防控、马产品开发及质量监督、赛马赛事规则制定、马文化精神弘扬、人才培养等马产业及相关领域。金融机构要树立服务意识，增强服务能力，提高服务水平和质量，引导、鼓励金融机构积极开发信贷产品，对马产业链各个环节、各个主体实施低息贷款的优惠政策，满足马产业发展对资金的需要。</w:t>
      </w:r>
    </w:p>
    <w:p>
      <w:pPr>
        <w:pStyle w:val="3"/>
        <w:ind w:firstLine="640" w:firstLineChars="200"/>
        <w:jc w:val="both"/>
        <w:rPr>
          <w:rFonts w:hint="eastAsia" w:ascii="楷体" w:hAnsi="楷体" w:cs="楷体"/>
          <w:b w:val="0"/>
          <w:bCs/>
          <w:sz w:val="32"/>
          <w:szCs w:val="32"/>
        </w:rPr>
      </w:pPr>
      <w:bookmarkStart w:id="743" w:name="_Toc12379"/>
      <w:bookmarkStart w:id="744" w:name="_Toc20234"/>
      <w:bookmarkStart w:id="745" w:name="_Toc4797"/>
      <w:bookmarkStart w:id="746" w:name="_Toc2030_WPSOffice_Level2"/>
      <w:bookmarkStart w:id="747" w:name="_Toc20751"/>
      <w:bookmarkStart w:id="748" w:name="_Toc374_WPSOffice_Level2"/>
      <w:bookmarkStart w:id="749" w:name="_Toc6378_WPSOffice_Level2"/>
      <w:bookmarkStart w:id="750" w:name="_Toc23769"/>
      <w:bookmarkStart w:id="751" w:name="_Toc25813"/>
      <w:bookmarkStart w:id="752" w:name="_Toc5229"/>
      <w:bookmarkStart w:id="753" w:name="_Toc639"/>
      <w:bookmarkStart w:id="754" w:name="_Toc3912"/>
      <w:bookmarkStart w:id="755" w:name="_Toc15532"/>
      <w:bookmarkStart w:id="756" w:name="_Toc32508_WPSOffice_Level2"/>
      <w:r>
        <w:rPr>
          <w:rFonts w:hint="eastAsia" w:ascii="楷体" w:hAnsi="楷体" w:cs="楷体"/>
          <w:b w:val="0"/>
          <w:bCs/>
          <w:sz w:val="32"/>
          <w:szCs w:val="32"/>
        </w:rPr>
        <w:t>（三）用地保障</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现代马产业发展所需建设用地优先给予保障。结合呼伦贝尔市和各旗（市）国土空间规划，“三大核心”种群繁育基地、“三大功能”主产区建设用地纳入土地利用年度计划，并在下达年度计划时优先给予用地指标支持。建立农牧局、自然资源局、生态环境局、</w:t>
      </w:r>
      <w:r>
        <w:rPr>
          <w:rFonts w:hint="eastAsia" w:ascii="仿宋_GB2312" w:hAnsi="仿宋_GB2312" w:eastAsia="仿宋_GB2312" w:cs="仿宋_GB2312"/>
          <w:sz w:val="32"/>
          <w:szCs w:val="32"/>
          <w:lang w:eastAsia="zh-CN"/>
        </w:rPr>
        <w:t>发展和改革委员会</w:t>
      </w:r>
      <w:r>
        <w:rPr>
          <w:rFonts w:hint="eastAsia" w:ascii="仿宋_GB2312" w:hAnsi="仿宋_GB2312" w:eastAsia="仿宋_GB2312" w:cs="仿宋_GB2312"/>
          <w:sz w:val="32"/>
          <w:szCs w:val="32"/>
        </w:rPr>
        <w:t>、财政局等相关部门组成的协调工作机制，严肃用地资格审查、简化用地手续、优化审批流程、缩短审批周期，提高工作效率。</w:t>
      </w:r>
    </w:p>
    <w:p>
      <w:pPr>
        <w:pStyle w:val="3"/>
        <w:ind w:firstLine="640" w:firstLineChars="200"/>
        <w:jc w:val="both"/>
        <w:rPr>
          <w:rFonts w:hint="eastAsia" w:ascii="楷体" w:hAnsi="楷体" w:cs="楷体"/>
          <w:b w:val="0"/>
          <w:bCs/>
          <w:sz w:val="32"/>
          <w:szCs w:val="32"/>
        </w:rPr>
      </w:pPr>
      <w:bookmarkStart w:id="757" w:name="_Toc26248"/>
      <w:bookmarkStart w:id="758" w:name="_Toc29868_WPSOffice_Level2"/>
      <w:bookmarkStart w:id="759" w:name="_Toc8260"/>
      <w:bookmarkStart w:id="760" w:name="_Toc29740"/>
      <w:bookmarkStart w:id="761" w:name="_Toc25796"/>
      <w:bookmarkStart w:id="762" w:name="_Toc27895"/>
      <w:bookmarkStart w:id="763" w:name="_Toc6079"/>
      <w:bookmarkStart w:id="764" w:name="_Toc23677"/>
      <w:bookmarkStart w:id="765" w:name="_Toc28944"/>
      <w:r>
        <w:rPr>
          <w:rFonts w:hint="eastAsia" w:ascii="楷体" w:hAnsi="楷体" w:cs="楷体"/>
          <w:b w:val="0"/>
          <w:bCs/>
          <w:sz w:val="32"/>
          <w:szCs w:val="32"/>
        </w:rPr>
        <w:t>（四）评估考核</w:t>
      </w:r>
      <w:bookmarkEnd w:id="757"/>
      <w:bookmarkEnd w:id="758"/>
      <w:bookmarkEnd w:id="759"/>
      <w:bookmarkEnd w:id="760"/>
      <w:bookmarkEnd w:id="761"/>
      <w:bookmarkEnd w:id="762"/>
      <w:bookmarkEnd w:id="763"/>
      <w:bookmarkEnd w:id="764"/>
      <w:bookmarkEnd w:id="765"/>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将呼伦贝尔市现代马产业发展规划实施成效纳入各级党委、政府及有关部门的年度目标责任考核，考核结果作为各级党政干部年度考核、选拔任用的重要依据，确保各项目标任务的完成落实。加强对规划实施情况跟踪分析，对重点领域中的突出问题适时开展专题评估。自觉接受人大监督、审计监督、舆论监督、群众监督、网络监督。立足我市实际，建立规划实施监测评价指标体系，每年组织一次第三方评估，加强规划实施动态监测。建立规划实施督促检查机制，2022年开展规划中期评估，重点评估2019-2022年目标完成情况和规划实施效果，2026年开展规划后评估。着力实施绩效管理，及时跟踪问效。</w:t>
      </w:r>
      <w:bookmarkEnd w:id="520"/>
      <w:bookmarkEnd w:id="521"/>
      <w:bookmarkEnd w:id="522"/>
      <w:bookmarkEnd w:id="523"/>
      <w:bookmarkEnd w:id="524"/>
      <w:bookmarkEnd w:id="525"/>
      <w:bookmarkEnd w:id="526"/>
      <w:bookmarkEnd w:id="527"/>
      <w:bookmarkEnd w:id="528"/>
      <w:bookmarkEnd w:id="529"/>
      <w:bookmarkEnd w:id="53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
    <w:altName w:val="方正楷体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lang w:val="en-US" w:eastAsia="zh-CN"/>
      </w:rPr>
      <w:t xml:space="preserve"> 3 -</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eastAsia="zh-CN"/>
      </w:rPr>
      <w:t>71</w:t>
    </w:r>
    <w:r>
      <w:rPr>
        <w:rFonts w:ascii="宋体" w:hAnsi="宋体"/>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true"/>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76144"/>
    <w:rsid w:val="00573B95"/>
    <w:rsid w:val="00576144"/>
    <w:rsid w:val="00791549"/>
    <w:rsid w:val="3DADC417"/>
    <w:rsid w:val="FE7B07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0"/>
    <w:pPr>
      <w:keepNext/>
      <w:keepLines/>
      <w:jc w:val="left"/>
      <w:outlineLvl w:val="0"/>
    </w:pPr>
    <w:rPr>
      <w:rFonts w:ascii="Calibri" w:hAnsi="Calibri" w:eastAsia="楷体"/>
      <w:b/>
      <w:kern w:val="44"/>
      <w:sz w:val="28"/>
    </w:rPr>
  </w:style>
  <w:style w:type="paragraph" w:styleId="3">
    <w:name w:val="heading 2"/>
    <w:basedOn w:val="1"/>
    <w:next w:val="1"/>
    <w:link w:val="21"/>
    <w:qFormat/>
    <w:uiPriority w:val="0"/>
    <w:pPr>
      <w:keepNext/>
      <w:keepLines/>
      <w:jc w:val="left"/>
      <w:outlineLvl w:val="1"/>
    </w:pPr>
    <w:rPr>
      <w:rFonts w:ascii="Arial" w:hAnsi="Arial" w:eastAsia="楷体"/>
      <w:b/>
      <w:kern w:val="0"/>
      <w:sz w:val="28"/>
    </w:rPr>
  </w:style>
  <w:style w:type="paragraph" w:styleId="4">
    <w:name w:val="heading 3"/>
    <w:basedOn w:val="1"/>
    <w:next w:val="1"/>
    <w:link w:val="22"/>
    <w:qFormat/>
    <w:uiPriority w:val="0"/>
    <w:pPr>
      <w:keepNext/>
      <w:keepLines/>
      <w:spacing w:line="360" w:lineRule="auto"/>
      <w:outlineLvl w:val="2"/>
    </w:pPr>
    <w:rPr>
      <w:rFonts w:ascii="Calibri" w:hAnsi="Calibri" w:eastAsia="楷体"/>
      <w:b/>
      <w:kern w:val="0"/>
      <w:sz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table of authorities"/>
    <w:basedOn w:val="1"/>
    <w:next w:val="1"/>
    <w:qFormat/>
    <w:uiPriority w:val="0"/>
    <w:pPr>
      <w:spacing w:line="360" w:lineRule="auto"/>
      <w:ind w:left="420"/>
      <w:jc w:val="left"/>
    </w:pPr>
  </w:style>
  <w:style w:type="paragraph" w:styleId="6">
    <w:name w:val="annotation text"/>
    <w:basedOn w:val="1"/>
    <w:link w:val="30"/>
    <w:qFormat/>
    <w:uiPriority w:val="0"/>
    <w:pPr>
      <w:jc w:val="left"/>
    </w:pPr>
  </w:style>
  <w:style w:type="paragraph" w:styleId="7">
    <w:name w:val="toc 3"/>
    <w:basedOn w:val="1"/>
    <w:next w:val="1"/>
    <w:qFormat/>
    <w:uiPriority w:val="0"/>
    <w:pPr>
      <w:ind w:left="840" w:leftChars="400"/>
    </w:pPr>
  </w:style>
  <w:style w:type="paragraph" w:styleId="8">
    <w:name w:val="Plain Text"/>
    <w:basedOn w:val="1"/>
    <w:link w:val="28"/>
    <w:qFormat/>
    <w:uiPriority w:val="0"/>
    <w:rPr>
      <w:rFonts w:ascii="宋体" w:hAnsi="Courier New" w:cs="Courier New"/>
      <w:szCs w:val="21"/>
    </w:rPr>
  </w:style>
  <w:style w:type="paragraph" w:styleId="9">
    <w:name w:val="Balloon Text"/>
    <w:basedOn w:val="1"/>
    <w:link w:val="26"/>
    <w:qFormat/>
    <w:uiPriority w:val="0"/>
    <w:rPr>
      <w:rFonts w:asciiTheme="minorHAnsi" w:hAnsiTheme="minorHAnsi" w:eastAsiaTheme="minorEastAsia" w:cstheme="minorBidi"/>
      <w:sz w:val="18"/>
      <w:szCs w:val="18"/>
    </w:rPr>
  </w:style>
  <w:style w:type="paragraph" w:styleId="10">
    <w:name w:val="footer"/>
    <w:basedOn w:val="1"/>
    <w:link w:val="27"/>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2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unhideWhenUsed/>
    <w:qFormat/>
    <w:uiPriority w:val="39"/>
    <w:pPr>
      <w:widowControl/>
      <w:tabs>
        <w:tab w:val="right" w:leader="dot" w:pos="8296"/>
      </w:tabs>
      <w:spacing w:after="100" w:line="276" w:lineRule="auto"/>
      <w:jc w:val="left"/>
    </w:pPr>
    <w:rPr>
      <w:rFonts w:ascii="黑体" w:hAnsi="黑体" w:eastAsia="黑体"/>
      <w:b/>
      <w:kern w:val="0"/>
      <w:sz w:val="28"/>
      <w:szCs w:val="28"/>
    </w:rPr>
  </w:style>
  <w:style w:type="paragraph" w:styleId="13">
    <w:name w:val="toc 2"/>
    <w:basedOn w:val="1"/>
    <w:next w:val="1"/>
    <w:qFormat/>
    <w:uiPriority w:val="0"/>
    <w:pPr>
      <w:ind w:left="420" w:leftChars="200"/>
    </w:pPr>
  </w:style>
  <w:style w:type="paragraph" w:styleId="14">
    <w:name w:val="Normal (Web)"/>
    <w:basedOn w:val="1"/>
    <w:qFormat/>
    <w:uiPriority w:val="0"/>
    <w:pPr>
      <w:spacing w:before="100" w:beforeAutospacing="1" w:after="100" w:afterAutospacing="1"/>
      <w:jc w:val="left"/>
    </w:pPr>
    <w:rPr>
      <w:kern w:val="0"/>
      <w:sz w:val="24"/>
    </w:rPr>
  </w:style>
  <w:style w:type="table" w:styleId="16">
    <w:name w:val="Table Grid"/>
    <w:basedOn w:val="15"/>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basedOn w:val="17"/>
    <w:qFormat/>
    <w:uiPriority w:val="0"/>
  </w:style>
  <w:style w:type="character" w:styleId="19">
    <w:name w:val="Hyperlink"/>
    <w:qFormat/>
    <w:uiPriority w:val="0"/>
    <w:rPr>
      <w:color w:val="0000FF"/>
      <w:u w:val="single"/>
    </w:rPr>
  </w:style>
  <w:style w:type="character" w:customStyle="1" w:styleId="20">
    <w:name w:val="标题 1 Char"/>
    <w:basedOn w:val="17"/>
    <w:link w:val="2"/>
    <w:qFormat/>
    <w:uiPriority w:val="0"/>
    <w:rPr>
      <w:rFonts w:ascii="Calibri" w:hAnsi="Calibri" w:eastAsia="楷体" w:cs="Times New Roman"/>
      <w:b/>
      <w:kern w:val="44"/>
      <w:sz w:val="28"/>
      <w:szCs w:val="24"/>
    </w:rPr>
  </w:style>
  <w:style w:type="character" w:customStyle="1" w:styleId="21">
    <w:name w:val="标题 2 Char"/>
    <w:basedOn w:val="17"/>
    <w:link w:val="3"/>
    <w:qFormat/>
    <w:uiPriority w:val="0"/>
    <w:rPr>
      <w:rFonts w:ascii="Arial" w:hAnsi="Arial" w:eastAsia="楷体" w:cs="Times New Roman"/>
      <w:b/>
      <w:kern w:val="0"/>
      <w:sz w:val="28"/>
      <w:szCs w:val="24"/>
    </w:rPr>
  </w:style>
  <w:style w:type="character" w:customStyle="1" w:styleId="22">
    <w:name w:val="标题 3 Char"/>
    <w:basedOn w:val="17"/>
    <w:link w:val="4"/>
    <w:qFormat/>
    <w:uiPriority w:val="0"/>
    <w:rPr>
      <w:rFonts w:ascii="Calibri" w:hAnsi="Calibri" w:eastAsia="楷体" w:cs="Times New Roman"/>
      <w:b/>
      <w:kern w:val="0"/>
      <w:sz w:val="28"/>
      <w:szCs w:val="24"/>
    </w:rPr>
  </w:style>
  <w:style w:type="character" w:customStyle="1" w:styleId="23">
    <w:name w:val="批注框文本 Char"/>
    <w:link w:val="9"/>
    <w:qFormat/>
    <w:uiPriority w:val="0"/>
    <w:rPr>
      <w:sz w:val="18"/>
      <w:szCs w:val="18"/>
    </w:rPr>
  </w:style>
  <w:style w:type="character" w:customStyle="1" w:styleId="24">
    <w:name w:val="页脚 Char"/>
    <w:link w:val="10"/>
    <w:qFormat/>
    <w:uiPriority w:val="99"/>
    <w:rPr>
      <w:sz w:val="18"/>
      <w:szCs w:val="18"/>
    </w:rPr>
  </w:style>
  <w:style w:type="paragraph" w:customStyle="1" w:styleId="25">
    <w:name w:val="WPSOffice手动目录 1"/>
    <w:qFormat/>
    <w:uiPriority w:val="0"/>
    <w:rPr>
      <w:rFonts w:ascii="Times New Roman" w:hAnsi="Times New Roman" w:eastAsia="宋体" w:cs="Times New Roman"/>
      <w:kern w:val="0"/>
      <w:sz w:val="20"/>
      <w:szCs w:val="20"/>
      <w:lang w:val="en-US" w:eastAsia="zh-CN" w:bidi="ar-SA"/>
    </w:rPr>
  </w:style>
  <w:style w:type="character" w:customStyle="1" w:styleId="26">
    <w:name w:val="批注框文本 Char1"/>
    <w:basedOn w:val="17"/>
    <w:link w:val="9"/>
    <w:semiHidden/>
    <w:qFormat/>
    <w:uiPriority w:val="99"/>
    <w:rPr>
      <w:rFonts w:ascii="Times New Roman" w:hAnsi="Times New Roman" w:eastAsia="宋体" w:cs="Times New Roman"/>
      <w:sz w:val="18"/>
      <w:szCs w:val="18"/>
    </w:rPr>
  </w:style>
  <w:style w:type="character" w:customStyle="1" w:styleId="27">
    <w:name w:val="页脚 Char1"/>
    <w:basedOn w:val="17"/>
    <w:link w:val="10"/>
    <w:semiHidden/>
    <w:qFormat/>
    <w:uiPriority w:val="99"/>
    <w:rPr>
      <w:rFonts w:ascii="Times New Roman" w:hAnsi="Times New Roman" w:eastAsia="宋体" w:cs="Times New Roman"/>
      <w:sz w:val="18"/>
      <w:szCs w:val="18"/>
    </w:rPr>
  </w:style>
  <w:style w:type="character" w:customStyle="1" w:styleId="28">
    <w:name w:val="纯文本 Char"/>
    <w:basedOn w:val="17"/>
    <w:link w:val="8"/>
    <w:qFormat/>
    <w:uiPriority w:val="0"/>
    <w:rPr>
      <w:rFonts w:ascii="宋体" w:hAnsi="Courier New" w:eastAsia="宋体" w:cs="Courier New"/>
      <w:szCs w:val="21"/>
    </w:rPr>
  </w:style>
  <w:style w:type="character" w:customStyle="1" w:styleId="29">
    <w:name w:val="页眉 Char"/>
    <w:basedOn w:val="17"/>
    <w:link w:val="11"/>
    <w:qFormat/>
    <w:uiPriority w:val="0"/>
    <w:rPr>
      <w:rFonts w:ascii="Times New Roman" w:hAnsi="Times New Roman" w:eastAsia="宋体" w:cs="Times New Roman"/>
      <w:sz w:val="18"/>
      <w:szCs w:val="24"/>
    </w:rPr>
  </w:style>
  <w:style w:type="character" w:customStyle="1" w:styleId="30">
    <w:name w:val="批注文字 Char"/>
    <w:basedOn w:val="17"/>
    <w:link w:val="6"/>
    <w:qFormat/>
    <w:uiPriority w:val="0"/>
    <w:rPr>
      <w:rFonts w:ascii="Times New Roman" w:hAnsi="Times New Roman" w:eastAsia="宋体" w:cs="Times New Roman"/>
      <w:szCs w:val="24"/>
    </w:rPr>
  </w:style>
  <w:style w:type="paragraph" w:customStyle="1" w:styleId="31">
    <w:name w:val="List Paragraph1"/>
    <w:basedOn w:val="1"/>
    <w:qFormat/>
    <w:uiPriority w:val="99"/>
    <w:pPr>
      <w:ind w:firstLine="420" w:firstLineChars="200"/>
    </w:pPr>
  </w:style>
  <w:style w:type="paragraph" w:customStyle="1" w:styleId="32">
    <w:name w:val="WPSOffice手动目录 2"/>
    <w:qFormat/>
    <w:uiPriority w:val="0"/>
    <w:pPr>
      <w:ind w:left="200" w:leftChars="200"/>
    </w:pPr>
    <w:rPr>
      <w:rFonts w:ascii="Times New Roman" w:hAnsi="Times New Roman" w:eastAsia="宋体" w:cs="Times New Roman"/>
      <w:kern w:val="0"/>
      <w:sz w:val="20"/>
      <w:szCs w:val="20"/>
      <w:lang w:val="en-US" w:eastAsia="zh-CN" w:bidi="ar-SA"/>
    </w:rPr>
  </w:style>
  <w:style w:type="paragraph" w:customStyle="1" w:styleId="33">
    <w:name w:val="WPSOffice手动目录 3"/>
    <w:qFormat/>
    <w:uiPriority w:val="0"/>
    <w:pPr>
      <w:ind w:left="400" w:leftChars="400"/>
    </w:pPr>
    <w:rPr>
      <w:rFonts w:ascii="Times New Roman" w:hAnsi="Times New Roman" w:eastAsia="宋体" w:cs="Times New Roman"/>
      <w:kern w:val="0"/>
      <w:sz w:val="20"/>
      <w:szCs w:val="20"/>
      <w:lang w:val="en-US" w:eastAsia="zh-CN" w:bidi="ar-SA"/>
    </w:rPr>
  </w:style>
  <w:style w:type="paragraph" w:customStyle="1" w:styleId="34">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5742</Words>
  <Characters>32736</Characters>
  <Lines>272</Lines>
  <Paragraphs>76</Paragraphs>
  <TotalTime>1</TotalTime>
  <ScaleCrop>false</ScaleCrop>
  <LinksUpToDate>false</LinksUpToDate>
  <CharactersWithSpaces>38402</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2020-02-24T23:28:00Z</dcterms:created>
  <dc:creator>徐杰琦</dc:creator>
  <cp:lastModifiedBy>kylin</cp:lastModifiedBy>
  <dcterms:modified xsi:type="dcterms:W3CDTF">2025-08-08T11:22:21Z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